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54" w:rsidRPr="008308E2" w:rsidRDefault="009974F8" w:rsidP="008308E2">
      <w:pPr>
        <w:autoSpaceDE/>
        <w:autoSpaceDN/>
        <w:adjustRightInd/>
        <w:spacing w:after="0"/>
        <w:ind w:right="-330"/>
        <w:rPr>
          <w:rFonts w:cs="Arial"/>
        </w:rPr>
        <w:sectPr w:rsidR="00641054" w:rsidRPr="008308E2" w:rsidSect="00B81DFC">
          <w:headerReference w:type="default" r:id="rId8"/>
          <w:footerReference w:type="default" r:id="rId9"/>
          <w:headerReference w:type="first" r:id="rId10"/>
          <w:pgSz w:w="11900" w:h="16840" w:code="9"/>
          <w:pgMar w:top="1361" w:right="1361" w:bottom="1361" w:left="1361" w:header="709" w:footer="709" w:gutter="0"/>
          <w:cols w:space="292"/>
          <w:titlePg/>
          <w:docGrid w:linePitch="326"/>
        </w:sectPr>
      </w:pPr>
      <w:r w:rsidRPr="008308E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ABB4D" wp14:editId="0A7E26FF">
                <wp:simplePos x="0" y="0"/>
                <wp:positionH relativeFrom="column">
                  <wp:posOffset>-464185</wp:posOffset>
                </wp:positionH>
                <wp:positionV relativeFrom="paragraph">
                  <wp:posOffset>5765165</wp:posOffset>
                </wp:positionV>
                <wp:extent cx="7002145" cy="2209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4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41" w:rsidRDefault="00291D41" w:rsidP="0037393E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91D41" w:rsidRPr="0037393E" w:rsidRDefault="00291D41" w:rsidP="0037393E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91D41" w:rsidRDefault="00291D41" w:rsidP="0037393E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Money Matters</w:t>
                            </w:r>
                          </w:p>
                          <w:p w:rsidR="008308E2" w:rsidRDefault="008308E2" w:rsidP="0037393E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Update on the County Council's Reserves Position for 2015/16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ABB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55pt;margin-top:453.95pt;width:551.35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5huAIAALo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" filled="f" stroked="f">
                <v:textbox>
                  <w:txbxContent>
                    <w:p w:rsidR="00291D41" w:rsidRDefault="00291D41" w:rsidP="0037393E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91D41" w:rsidRPr="0037393E" w:rsidRDefault="00291D41" w:rsidP="0037393E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91D41" w:rsidRDefault="00291D41" w:rsidP="0037393E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Money Matters</w:t>
                      </w:r>
                    </w:p>
                    <w:p w:rsidR="008308E2" w:rsidRDefault="008308E2" w:rsidP="0037393E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Update on the County Council's Reserves Position for 2015/16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5"/>
        <w:gridCol w:w="2311"/>
      </w:tblGrid>
      <w:tr w:rsidR="00A31B9F" w:rsidTr="009A5787">
        <w:tc>
          <w:tcPr>
            <w:tcW w:w="6705" w:type="dxa"/>
          </w:tcPr>
          <w:p w:rsidR="00A31B9F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  <w:p w:rsidR="00A31B9F" w:rsidRPr="00E775EA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E775EA">
              <w:rPr>
                <w:rFonts w:cs="Arial"/>
                <w:b/>
                <w:bCs/>
                <w:sz w:val="26"/>
                <w:szCs w:val="26"/>
              </w:rPr>
              <w:t>Contents</w:t>
            </w:r>
          </w:p>
          <w:p w:rsidR="00A31B9F" w:rsidRPr="00E775EA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2311" w:type="dxa"/>
          </w:tcPr>
          <w:p w:rsidR="00A31B9F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  <w:p w:rsidR="00A31B9F" w:rsidRPr="00E775EA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E775EA">
              <w:rPr>
                <w:rFonts w:cs="Arial"/>
                <w:b/>
                <w:bCs/>
                <w:sz w:val="26"/>
                <w:szCs w:val="26"/>
              </w:rPr>
              <w:t>Page</w:t>
            </w:r>
          </w:p>
        </w:tc>
      </w:tr>
      <w:tr w:rsidR="00A31B9F" w:rsidTr="009A5787">
        <w:tc>
          <w:tcPr>
            <w:tcW w:w="6705" w:type="dxa"/>
          </w:tcPr>
          <w:p w:rsidR="00A31B9F" w:rsidRDefault="00A31B9F" w:rsidP="009A5787">
            <w:pPr>
              <w:tabs>
                <w:tab w:val="left" w:pos="738"/>
                <w:tab w:val="left" w:pos="880"/>
                <w:tab w:val="left" w:pos="1777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:rsidR="004532BC" w:rsidRDefault="004532BC" w:rsidP="009A5787">
            <w:pPr>
              <w:tabs>
                <w:tab w:val="left" w:pos="738"/>
                <w:tab w:val="left" w:pos="880"/>
                <w:tab w:val="left" w:pos="1777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  <w:r>
              <w:rPr>
                <w:rFonts w:cs="Arial"/>
                <w:b/>
                <w:bCs/>
              </w:rPr>
              <w:tab/>
              <w:t>Introduction</w:t>
            </w:r>
          </w:p>
          <w:p w:rsidR="004532BC" w:rsidRPr="0071029A" w:rsidRDefault="004532BC" w:rsidP="009A5787">
            <w:pPr>
              <w:tabs>
                <w:tab w:val="left" w:pos="738"/>
                <w:tab w:val="left" w:pos="880"/>
                <w:tab w:val="left" w:pos="1777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</w:tcPr>
          <w:p w:rsidR="00A31B9F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  <w:p w:rsidR="004532BC" w:rsidRPr="0071029A" w:rsidRDefault="004532BC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</w:tr>
      <w:tr w:rsidR="00A31B9F" w:rsidTr="009A5787">
        <w:tc>
          <w:tcPr>
            <w:tcW w:w="6705" w:type="dxa"/>
          </w:tcPr>
          <w:p w:rsidR="00A31B9F" w:rsidRDefault="00A31B9F" w:rsidP="009A5787">
            <w:pPr>
              <w:tabs>
                <w:tab w:val="left" w:pos="738"/>
                <w:tab w:val="left" w:pos="1387"/>
                <w:tab w:val="left" w:pos="176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:rsidR="004532BC" w:rsidRDefault="004532BC" w:rsidP="009A5787">
            <w:pPr>
              <w:tabs>
                <w:tab w:val="left" w:pos="738"/>
                <w:tab w:val="left" w:pos="1387"/>
                <w:tab w:val="left" w:pos="176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Summary</w:t>
            </w:r>
          </w:p>
          <w:p w:rsidR="004532BC" w:rsidRPr="0071029A" w:rsidRDefault="004532BC" w:rsidP="009A5787">
            <w:pPr>
              <w:tabs>
                <w:tab w:val="left" w:pos="738"/>
                <w:tab w:val="left" w:pos="1387"/>
                <w:tab w:val="left" w:pos="176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</w:tcPr>
          <w:p w:rsidR="00A31B9F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  <w:p w:rsidR="004532BC" w:rsidRPr="0071029A" w:rsidRDefault="004532BC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</w:tr>
      <w:tr w:rsidR="00A31B9F" w:rsidTr="009A5787">
        <w:tc>
          <w:tcPr>
            <w:tcW w:w="6705" w:type="dxa"/>
          </w:tcPr>
          <w:p w:rsidR="00A31B9F" w:rsidRDefault="00A31B9F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:rsidR="004532BC" w:rsidRDefault="004532BC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ab/>
              <w:t>Reserves</w:t>
            </w:r>
          </w:p>
          <w:p w:rsidR="004532BC" w:rsidRPr="0071029A" w:rsidRDefault="004532BC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</w:tcPr>
          <w:p w:rsidR="00A31B9F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  <w:p w:rsidR="004532BC" w:rsidRPr="0071029A" w:rsidRDefault="004532BC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</w:tr>
      <w:tr w:rsidR="00426D32" w:rsidTr="009A5787">
        <w:tc>
          <w:tcPr>
            <w:tcW w:w="6705" w:type="dxa"/>
          </w:tcPr>
          <w:p w:rsidR="00426D32" w:rsidRDefault="00426D3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:rsidR="00426D32" w:rsidRDefault="00426D3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</w:r>
            <w:r w:rsidR="00297702">
              <w:rPr>
                <w:rFonts w:cs="Arial"/>
                <w:b/>
                <w:bCs/>
              </w:rPr>
              <w:t>Impact of 2015/16 Outturn Forecast</w:t>
            </w:r>
          </w:p>
          <w:p w:rsidR="00426D32" w:rsidRDefault="00426D3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</w:tcPr>
          <w:p w:rsidR="00426D32" w:rsidRDefault="00426D32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  <w:p w:rsidR="00426D32" w:rsidRDefault="00AD163D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</w:tr>
      <w:tr w:rsidR="00297702" w:rsidTr="009A5787">
        <w:tc>
          <w:tcPr>
            <w:tcW w:w="6705" w:type="dxa"/>
          </w:tcPr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  <w:r>
              <w:rPr>
                <w:rFonts w:cs="Arial"/>
                <w:b/>
                <w:bCs/>
              </w:rPr>
              <w:tab/>
              <w:t>Conclusion</w:t>
            </w:r>
          </w:p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</w:tcPr>
          <w:p w:rsidR="00297702" w:rsidRDefault="00297702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  <w:p w:rsidR="00297702" w:rsidRDefault="00E3500D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297702" w:rsidTr="009A5787">
        <w:tc>
          <w:tcPr>
            <w:tcW w:w="6705" w:type="dxa"/>
          </w:tcPr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  <w:r>
              <w:rPr>
                <w:rFonts w:cs="Arial"/>
                <w:b/>
                <w:bCs/>
              </w:rPr>
              <w:tab/>
              <w:t xml:space="preserve">Annex A – </w:t>
            </w:r>
            <w:r>
              <w:rPr>
                <w:rFonts w:eastAsia="Arial Unicode MS" w:cs="Arial"/>
                <w:b/>
                <w:u w:color="000000"/>
                <w:lang w:eastAsia="en-GB"/>
              </w:rPr>
              <w:t>Strategic Investment Reserve</w:t>
            </w:r>
          </w:p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</w:tcPr>
          <w:p w:rsidR="00297702" w:rsidRDefault="00297702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  <w:p w:rsidR="00297702" w:rsidRDefault="00E3500D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</w:tr>
      <w:tr w:rsidR="00297702" w:rsidTr="009A5787">
        <w:tc>
          <w:tcPr>
            <w:tcW w:w="6705" w:type="dxa"/>
          </w:tcPr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:rsidR="00297702" w:rsidRDefault="00297702" w:rsidP="00297702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left="738" w:right="-46" w:hanging="73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  <w:r>
              <w:rPr>
                <w:rFonts w:cs="Arial"/>
                <w:b/>
                <w:bCs/>
              </w:rPr>
              <w:tab/>
              <w:t xml:space="preserve">Annex B – </w:t>
            </w:r>
            <w:r>
              <w:rPr>
                <w:rFonts w:eastAsia="Arial Unicode MS" w:cs="Arial"/>
                <w:b/>
                <w:u w:color="000000"/>
                <w:lang w:eastAsia="en-GB"/>
              </w:rPr>
              <w:t>Downsizing and Risk Management Reserve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297702" w:rsidRDefault="00297702" w:rsidP="00297702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left="738" w:right="-46" w:hanging="738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</w:tcPr>
          <w:p w:rsidR="00297702" w:rsidRDefault="00297702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  <w:p w:rsidR="00297702" w:rsidRDefault="00E3500D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</w:tr>
      <w:tr w:rsidR="00297702" w:rsidTr="009A5787">
        <w:tc>
          <w:tcPr>
            <w:tcW w:w="6705" w:type="dxa"/>
          </w:tcPr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  <w:r>
              <w:rPr>
                <w:rFonts w:cs="Arial"/>
                <w:b/>
                <w:bCs/>
              </w:rPr>
              <w:tab/>
              <w:t xml:space="preserve">Annex C – </w:t>
            </w:r>
            <w:r w:rsidR="00031CD4">
              <w:rPr>
                <w:rFonts w:eastAsia="Arial Unicode MS" w:cs="Arial"/>
                <w:b/>
                <w:u w:color="000000"/>
                <w:lang w:eastAsia="en-GB"/>
              </w:rPr>
              <w:t>Service</w:t>
            </w:r>
            <w:r>
              <w:rPr>
                <w:rFonts w:eastAsia="Arial Unicode MS" w:cs="Arial"/>
                <w:b/>
                <w:u w:color="000000"/>
                <w:lang w:eastAsia="en-GB"/>
              </w:rPr>
              <w:t xml:space="preserve"> Reserve</w:t>
            </w:r>
          </w:p>
          <w:p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</w:tcPr>
          <w:p w:rsidR="00297702" w:rsidRDefault="00297702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  <w:p w:rsidR="00297702" w:rsidRDefault="00E3500D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</w:tr>
    </w:tbl>
    <w:p w:rsidR="00A31B9F" w:rsidRDefault="00A31B9F">
      <w:pPr>
        <w:autoSpaceDE/>
        <w:autoSpaceDN/>
        <w:adjustRightInd/>
        <w:spacing w:after="0"/>
        <w:jc w:val="left"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sz w:val="32"/>
          <w:szCs w:val="32"/>
          <w:lang w:eastAsia="en-GB"/>
        </w:rPr>
        <w:br w:type="page"/>
      </w:r>
    </w:p>
    <w:p w:rsidR="008308E2" w:rsidRPr="008308E2" w:rsidRDefault="008308E2" w:rsidP="008308E2">
      <w:pPr>
        <w:tabs>
          <w:tab w:val="left" w:pos="851"/>
          <w:tab w:val="left" w:pos="1418"/>
        </w:tabs>
        <w:spacing w:after="0"/>
        <w:ind w:right="-330"/>
        <w:rPr>
          <w:rFonts w:eastAsia="Times New Roman" w:cs="Arial"/>
          <w:sz w:val="32"/>
          <w:szCs w:val="32"/>
          <w:lang w:eastAsia="en-GB"/>
        </w:rPr>
      </w:pPr>
      <w:r w:rsidRPr="008308E2">
        <w:rPr>
          <w:rFonts w:eastAsia="Times New Roman" w:cs="Arial"/>
          <w:sz w:val="32"/>
          <w:szCs w:val="32"/>
          <w:lang w:eastAsia="en-GB"/>
        </w:rPr>
        <w:lastRenderedPageBreak/>
        <w:t>Money Matters – Update on the County Council's Reserves Position for 2015/16</w:t>
      </w:r>
    </w:p>
    <w:p w:rsidR="008308E2" w:rsidRPr="008308E2" w:rsidRDefault="008308E2" w:rsidP="008308E2">
      <w:pPr>
        <w:tabs>
          <w:tab w:val="left" w:pos="851"/>
          <w:tab w:val="left" w:pos="1418"/>
        </w:tabs>
        <w:spacing w:after="0"/>
        <w:ind w:right="-330"/>
        <w:rPr>
          <w:rFonts w:eastAsia="Times New Roman" w:cs="Arial"/>
          <w:lang w:eastAsia="en-GB"/>
        </w:rPr>
      </w:pPr>
    </w:p>
    <w:p w:rsidR="008308E2" w:rsidRPr="008308E2" w:rsidRDefault="008308E2" w:rsidP="008308E2">
      <w:pPr>
        <w:tabs>
          <w:tab w:val="left" w:pos="851"/>
          <w:tab w:val="left" w:pos="1418"/>
        </w:tabs>
        <w:spacing w:after="0"/>
        <w:ind w:right="-330"/>
        <w:rPr>
          <w:rFonts w:eastAsia="Times New Roman" w:cs="Arial"/>
          <w:b/>
          <w:lang w:eastAsia="en-GB"/>
        </w:rPr>
      </w:pPr>
      <w:r w:rsidRPr="008308E2">
        <w:rPr>
          <w:rFonts w:eastAsia="Times New Roman" w:cs="Arial"/>
          <w:b/>
          <w:lang w:eastAsia="en-GB"/>
        </w:rPr>
        <w:t>1</w:t>
      </w:r>
      <w:r w:rsidR="004532BC">
        <w:rPr>
          <w:rFonts w:eastAsia="Times New Roman" w:cs="Arial"/>
          <w:b/>
          <w:lang w:eastAsia="en-GB"/>
        </w:rPr>
        <w:t>.</w:t>
      </w:r>
      <w:r w:rsidRPr="008308E2">
        <w:rPr>
          <w:rFonts w:eastAsia="Times New Roman" w:cs="Arial"/>
          <w:b/>
          <w:lang w:eastAsia="en-GB"/>
        </w:rPr>
        <w:tab/>
        <w:t>Introduction</w:t>
      </w:r>
    </w:p>
    <w:p w:rsidR="008308E2" w:rsidRPr="008308E2" w:rsidRDefault="008308E2" w:rsidP="008308E2">
      <w:pPr>
        <w:tabs>
          <w:tab w:val="left" w:pos="851"/>
          <w:tab w:val="left" w:pos="1418"/>
        </w:tabs>
        <w:spacing w:after="0"/>
        <w:ind w:right="-330"/>
        <w:rPr>
          <w:rFonts w:eastAsia="Times New Roman" w:cs="Arial"/>
          <w:b/>
          <w:lang w:eastAsia="en-GB"/>
        </w:rPr>
      </w:pPr>
    </w:p>
    <w:p w:rsidR="008308E2" w:rsidRPr="008308E2" w:rsidRDefault="008308E2" w:rsidP="008308E2">
      <w:pPr>
        <w:tabs>
          <w:tab w:val="left" w:pos="851"/>
          <w:tab w:val="left" w:pos="1418"/>
        </w:tabs>
        <w:spacing w:after="0"/>
        <w:ind w:right="-330"/>
        <w:rPr>
          <w:rFonts w:eastAsia="Times New Roman" w:cs="Arial"/>
          <w:lang w:eastAsia="en-GB"/>
        </w:rPr>
      </w:pPr>
      <w:r w:rsidRPr="008308E2">
        <w:rPr>
          <w:rFonts w:eastAsia="Times New Roman" w:cs="Arial"/>
          <w:lang w:eastAsia="en-GB"/>
        </w:rPr>
        <w:t xml:space="preserve">An integral part of the County Council's financial management is the use of reserves. </w:t>
      </w:r>
      <w:r w:rsidR="00224312">
        <w:rPr>
          <w:rFonts w:eastAsia="Times New Roman" w:cs="Arial"/>
          <w:lang w:eastAsia="en-GB"/>
        </w:rPr>
        <w:t xml:space="preserve"> </w:t>
      </w:r>
      <w:r w:rsidRPr="008308E2">
        <w:rPr>
          <w:rFonts w:eastAsia="Times New Roman" w:cs="Arial"/>
          <w:lang w:eastAsia="en-GB"/>
        </w:rPr>
        <w:t xml:space="preserve">This report sets out </w:t>
      </w:r>
      <w:r w:rsidR="000211C6">
        <w:rPr>
          <w:rFonts w:eastAsia="Times New Roman" w:cs="Arial"/>
          <w:lang w:eastAsia="en-GB"/>
        </w:rPr>
        <w:t xml:space="preserve">an </w:t>
      </w:r>
      <w:r w:rsidRPr="008308E2">
        <w:rPr>
          <w:rFonts w:eastAsia="Times New Roman" w:cs="Arial"/>
          <w:lang w:eastAsia="en-GB"/>
        </w:rPr>
        <w:t>estimated position of the reserves in light of the monitoring information provided elsewhere in this report.</w:t>
      </w:r>
    </w:p>
    <w:p w:rsidR="008308E2" w:rsidRPr="008308E2" w:rsidRDefault="008308E2" w:rsidP="008308E2">
      <w:pPr>
        <w:tabs>
          <w:tab w:val="left" w:pos="851"/>
          <w:tab w:val="left" w:pos="1418"/>
        </w:tabs>
        <w:spacing w:after="0"/>
        <w:ind w:right="-330"/>
        <w:rPr>
          <w:rFonts w:eastAsia="Times New Roman" w:cs="Arial"/>
          <w:lang w:eastAsia="en-GB"/>
        </w:rPr>
      </w:pPr>
    </w:p>
    <w:p w:rsidR="008308E2" w:rsidRPr="008308E2" w:rsidRDefault="008308E2" w:rsidP="008308E2">
      <w:pPr>
        <w:spacing w:after="0"/>
        <w:ind w:right="-330"/>
        <w:rPr>
          <w:rFonts w:cs="Arial"/>
          <w:b/>
        </w:rPr>
      </w:pPr>
      <w:r w:rsidRPr="008308E2">
        <w:rPr>
          <w:rFonts w:cs="Arial"/>
          <w:b/>
        </w:rPr>
        <w:t>2</w:t>
      </w:r>
      <w:r w:rsidR="004532BC">
        <w:rPr>
          <w:rFonts w:cs="Arial"/>
          <w:b/>
        </w:rPr>
        <w:t>.</w:t>
      </w:r>
      <w:r w:rsidRPr="008308E2">
        <w:rPr>
          <w:rFonts w:cs="Arial"/>
          <w:b/>
        </w:rPr>
        <w:tab/>
        <w:t>Summary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As at 1</w:t>
      </w:r>
      <w:r w:rsidRPr="008308E2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 w:rsidRPr="008308E2">
        <w:rPr>
          <w:rFonts w:cs="Arial"/>
        </w:rPr>
        <w:t>April 2015 the County Council had total reserves of £</w:t>
      </w:r>
      <w:r w:rsidRPr="0039333E">
        <w:rPr>
          <w:rFonts w:cs="Arial"/>
        </w:rPr>
        <w:t>424.650m.  Of this £95.952m is held for schools and its use is restricted.  Therefore the County Council's reserves are £328.698m.</w:t>
      </w:r>
      <w:r w:rsidRPr="008308E2">
        <w:rPr>
          <w:rFonts w:cs="Arial"/>
        </w:rPr>
        <w:t xml:space="preserve"> 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 xml:space="preserve">Based on the latest information on the level of commitments </w:t>
      </w:r>
      <w:r w:rsidR="000211C6">
        <w:rPr>
          <w:rFonts w:cs="Arial"/>
        </w:rPr>
        <w:t xml:space="preserve">excluding schools </w:t>
      </w:r>
      <w:r w:rsidRPr="008308E2">
        <w:rPr>
          <w:rFonts w:cs="Arial"/>
        </w:rPr>
        <w:t xml:space="preserve">this will be reduced by </w:t>
      </w:r>
      <w:r w:rsidR="000211C6">
        <w:rPr>
          <w:rFonts w:cs="Arial"/>
        </w:rPr>
        <w:t>£</w:t>
      </w:r>
      <w:r w:rsidR="00816112">
        <w:rPr>
          <w:rFonts w:cs="Arial"/>
        </w:rPr>
        <w:t>84</w:t>
      </w:r>
      <w:r w:rsidR="005C2638">
        <w:rPr>
          <w:rFonts w:cs="Arial"/>
        </w:rPr>
        <w:t>.039</w:t>
      </w:r>
      <w:r w:rsidR="00297702" w:rsidRPr="009370DF">
        <w:rPr>
          <w:rFonts w:cs="Arial"/>
        </w:rPr>
        <w:t>m</w:t>
      </w:r>
      <w:r w:rsidRPr="008308E2">
        <w:rPr>
          <w:rFonts w:cs="Arial"/>
        </w:rPr>
        <w:t xml:space="preserve"> in 2015/16. Future years' commitments reduce this balance to </w:t>
      </w:r>
      <w:r w:rsidRPr="009370DF">
        <w:rPr>
          <w:rFonts w:cs="Arial"/>
        </w:rPr>
        <w:t>£</w:t>
      </w:r>
      <w:r w:rsidR="00816112">
        <w:rPr>
          <w:rFonts w:cs="Arial"/>
        </w:rPr>
        <w:t>87</w:t>
      </w:r>
      <w:r w:rsidR="005C2638">
        <w:rPr>
          <w:rFonts w:cs="Arial"/>
        </w:rPr>
        <w:t>.406</w:t>
      </w:r>
      <w:r w:rsidRPr="009370DF">
        <w:rPr>
          <w:rFonts w:cs="Arial"/>
        </w:rPr>
        <w:t>m</w:t>
      </w:r>
      <w:r w:rsidR="00297702">
        <w:rPr>
          <w:rFonts w:cs="Arial"/>
        </w:rPr>
        <w:t xml:space="preserve"> by 31</w:t>
      </w:r>
      <w:r w:rsidR="00297702" w:rsidRPr="00297702">
        <w:rPr>
          <w:rFonts w:cs="Arial"/>
          <w:vertAlign w:val="superscript"/>
        </w:rPr>
        <w:t>st</w:t>
      </w:r>
      <w:r w:rsidR="00297702">
        <w:rPr>
          <w:rFonts w:cs="Arial"/>
        </w:rPr>
        <w:t xml:space="preserve"> March 2018.  Note this does not take into account the 2015/16 potential overspend of net £</w:t>
      </w:r>
      <w:r w:rsidR="00DD7B80">
        <w:rPr>
          <w:rFonts w:cs="Arial"/>
        </w:rPr>
        <w:t>33</w:t>
      </w:r>
      <w:r w:rsidR="00E3500D">
        <w:rPr>
          <w:rFonts w:cs="Arial"/>
        </w:rPr>
        <w:t>.2</w:t>
      </w:r>
      <w:r w:rsidR="00AE0B1C">
        <w:rPr>
          <w:rFonts w:cs="Arial"/>
        </w:rPr>
        <w:t>51</w:t>
      </w:r>
      <w:r w:rsidR="00297702" w:rsidRPr="009370DF">
        <w:rPr>
          <w:rFonts w:cs="Arial"/>
        </w:rPr>
        <w:t>m</w:t>
      </w:r>
      <w:r w:rsidR="00224312">
        <w:rPr>
          <w:rFonts w:cs="Arial"/>
        </w:rPr>
        <w:t xml:space="preserve"> as detailed in Appendix</w:t>
      </w:r>
      <w:r w:rsidR="00297702">
        <w:rPr>
          <w:rFonts w:cs="Arial"/>
        </w:rPr>
        <w:t xml:space="preserve"> A.</w:t>
      </w:r>
      <w:r w:rsidRPr="008308E2">
        <w:rPr>
          <w:rFonts w:cs="Arial"/>
        </w:rPr>
        <w:t xml:space="preserve"> 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P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The following table illustrates the forecast position in respect of the Council's reserves: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Pr="008308E2" w:rsidRDefault="00944150" w:rsidP="00224312">
      <w:pPr>
        <w:spacing w:after="0"/>
        <w:ind w:left="-284" w:right="-330"/>
        <w:rPr>
          <w:rFonts w:cs="Arial"/>
        </w:rPr>
      </w:pPr>
      <w:r w:rsidRPr="00944150">
        <w:rPr>
          <w:noProof/>
          <w:lang w:eastAsia="en-GB"/>
        </w:rPr>
        <w:drawing>
          <wp:inline distT="0" distB="0" distL="0" distR="0">
            <wp:extent cx="6617453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15" cy="32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CD" w:rsidRDefault="00566CCD" w:rsidP="00A53AE1">
      <w:pPr>
        <w:spacing w:after="0"/>
        <w:ind w:right="-330"/>
        <w:rPr>
          <w:rFonts w:cs="Arial"/>
        </w:rPr>
      </w:pPr>
    </w:p>
    <w:p w:rsidR="00A53AE1" w:rsidRPr="00A53AE1" w:rsidRDefault="00A53AE1" w:rsidP="00A53AE1">
      <w:pPr>
        <w:spacing w:after="0"/>
        <w:ind w:right="-330"/>
        <w:rPr>
          <w:rFonts w:cs="Arial"/>
        </w:rPr>
      </w:pPr>
      <w:r w:rsidRPr="00A53AE1">
        <w:rPr>
          <w:rFonts w:cs="Arial"/>
        </w:rPr>
        <w:t>*</w:t>
      </w:r>
      <w:r>
        <w:rPr>
          <w:rFonts w:cs="Arial"/>
        </w:rPr>
        <w:t xml:space="preserve"> includes the growth deal £39.5m.</w:t>
      </w:r>
    </w:p>
    <w:p w:rsidR="00A53AE1" w:rsidRDefault="00A53AE1" w:rsidP="008308E2">
      <w:pPr>
        <w:spacing w:after="0"/>
        <w:ind w:right="-330"/>
        <w:rPr>
          <w:rFonts w:cs="Arial"/>
        </w:rPr>
      </w:pPr>
    </w:p>
    <w:p w:rsidR="00122701" w:rsidRDefault="00122701">
      <w:pPr>
        <w:autoSpaceDE/>
        <w:autoSpaceDN/>
        <w:adjustRightInd/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lastRenderedPageBreak/>
        <w:t>School Reserves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2268"/>
      </w:tblGrid>
      <w:tr w:rsidR="008308E2" w:rsidRPr="00122701" w:rsidTr="00224312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E2" w:rsidRPr="00122701" w:rsidRDefault="008308E2" w:rsidP="00A31B9F">
            <w:pPr>
              <w:spacing w:after="0"/>
              <w:ind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Reserve 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E2" w:rsidRPr="00122701" w:rsidRDefault="008308E2" w:rsidP="00224312">
            <w:pPr>
              <w:spacing w:after="0"/>
              <w:ind w:right="34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Opening Balance as at</w:t>
            </w:r>
            <w:r w:rsidR="00224312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1</w:t>
            </w:r>
            <w:r w:rsidR="00A31B9F" w:rsidRPr="00122701">
              <w:rPr>
                <w:rFonts w:eastAsia="Times New Roman" w:cs="Arial"/>
                <w:b/>
                <w:bCs/>
                <w:sz w:val="22"/>
                <w:szCs w:val="22"/>
                <w:vertAlign w:val="superscript"/>
                <w:lang w:eastAsia="en-GB"/>
              </w:rPr>
              <w:t>st</w:t>
            </w:r>
            <w:r w:rsidR="00A31B9F"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April 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8E2" w:rsidRPr="00122701" w:rsidRDefault="008308E2" w:rsidP="00224312">
            <w:pPr>
              <w:spacing w:after="0"/>
              <w:ind w:left="-392"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YTD actuals 2015/16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8E2" w:rsidRPr="00122701" w:rsidRDefault="00AE0B1C" w:rsidP="00224312">
            <w:pPr>
              <w:spacing w:after="0"/>
              <w:ind w:left="-109" w:right="-10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Forecast Closing </w:t>
            </w:r>
            <w:r w:rsidR="008308E2"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Balance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 as at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br/>
              <w:t>31</w:t>
            </w:r>
            <w:r w:rsidRPr="00AE0B1C">
              <w:rPr>
                <w:rFonts w:eastAsia="Times New Roman" w:cs="Arial"/>
                <w:b/>
                <w:bCs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 March 2016*</w:t>
            </w:r>
          </w:p>
        </w:tc>
      </w:tr>
      <w:tr w:rsidR="008308E2" w:rsidRPr="00122701" w:rsidTr="0022431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8E2" w:rsidRPr="00122701" w:rsidRDefault="008308E2" w:rsidP="00A31B9F">
            <w:pPr>
              <w:spacing w:after="0"/>
              <w:ind w:right="-330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8E2" w:rsidRPr="00122701" w:rsidRDefault="008308E2" w:rsidP="00224312">
            <w:pPr>
              <w:spacing w:after="0"/>
              <w:ind w:right="34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8E2" w:rsidRPr="00122701" w:rsidRDefault="008308E2" w:rsidP="00224312">
            <w:pPr>
              <w:spacing w:after="0"/>
              <w:ind w:left="-392"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8E2" w:rsidRPr="00122701" w:rsidRDefault="008308E2" w:rsidP="00224312">
            <w:pPr>
              <w:spacing w:after="0"/>
              <w:ind w:left="-109"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£m</w:t>
            </w:r>
          </w:p>
        </w:tc>
      </w:tr>
      <w:tr w:rsidR="008308E2" w:rsidRPr="00122701" w:rsidTr="0022431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E2" w:rsidRPr="00122701" w:rsidRDefault="008308E2" w:rsidP="002F364A">
            <w:pPr>
              <w:spacing w:after="0"/>
              <w:ind w:right="-330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sz w:val="22"/>
                <w:szCs w:val="22"/>
                <w:lang w:eastAsia="en-GB"/>
              </w:rPr>
              <w:t>School Reserves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E2" w:rsidRPr="00122701" w:rsidRDefault="002F364A" w:rsidP="00224312">
            <w:pPr>
              <w:spacing w:after="0"/>
              <w:ind w:right="34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- </w:t>
            </w:r>
            <w:r w:rsidR="008308E2"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95.952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E2" w:rsidRPr="00122701" w:rsidRDefault="008308E2" w:rsidP="00224312">
            <w:pPr>
              <w:spacing w:after="0"/>
              <w:ind w:left="-392"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6.073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E2" w:rsidRPr="00122701" w:rsidRDefault="002F364A" w:rsidP="00224312">
            <w:pPr>
              <w:spacing w:after="0"/>
              <w:ind w:left="-109"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- </w:t>
            </w:r>
            <w:r w:rsidR="00A53AE1"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89</w:t>
            </w:r>
            <w:r w:rsidR="008308E2"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.8</w:t>
            </w:r>
            <w:r w:rsidR="00BD34B5"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7</w:t>
            </w:r>
            <w:r w:rsidR="008308E2"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9</w:t>
            </w:r>
          </w:p>
        </w:tc>
      </w:tr>
    </w:tbl>
    <w:p w:rsidR="008308E2" w:rsidRDefault="008308E2" w:rsidP="008308E2">
      <w:pPr>
        <w:spacing w:after="0"/>
        <w:ind w:right="-330"/>
        <w:rPr>
          <w:rFonts w:cs="Arial"/>
        </w:rPr>
      </w:pPr>
    </w:p>
    <w:p w:rsidR="00AE0B1C" w:rsidRPr="00AE0B1C" w:rsidRDefault="00AE0B1C" w:rsidP="00AE0B1C">
      <w:pPr>
        <w:pStyle w:val="ListParagraph"/>
        <w:numPr>
          <w:ilvl w:val="0"/>
          <w:numId w:val="33"/>
        </w:numPr>
        <w:tabs>
          <w:tab w:val="left" w:pos="426"/>
        </w:tabs>
        <w:spacing w:after="0"/>
        <w:ind w:left="426" w:right="-330" w:hanging="426"/>
        <w:rPr>
          <w:rFonts w:cs="Arial"/>
        </w:rPr>
      </w:pPr>
      <w:r w:rsidRPr="00AE0B1C">
        <w:rPr>
          <w:rFonts w:cs="Arial"/>
        </w:rPr>
        <w:t xml:space="preserve">At this stage the plans </w:t>
      </w:r>
      <w:r>
        <w:rPr>
          <w:rFonts w:cs="Arial"/>
        </w:rPr>
        <w:t xml:space="preserve">beyond March 2016 </w:t>
      </w:r>
      <w:r w:rsidRPr="00AE0B1C">
        <w:rPr>
          <w:rFonts w:cs="Arial"/>
        </w:rPr>
        <w:t xml:space="preserve">are not known in any detail to predict </w:t>
      </w:r>
      <w:r>
        <w:rPr>
          <w:rFonts w:cs="Arial"/>
        </w:rPr>
        <w:t>when this reserve will be spent.</w:t>
      </w:r>
    </w:p>
    <w:p w:rsidR="00AE0B1C" w:rsidRPr="008308E2" w:rsidRDefault="00AE0B1C" w:rsidP="008308E2">
      <w:pPr>
        <w:spacing w:after="0"/>
        <w:ind w:right="-330"/>
        <w:rPr>
          <w:rFonts w:cs="Arial"/>
        </w:rPr>
      </w:pPr>
    </w:p>
    <w:p w:rsidR="008308E2" w:rsidRPr="008308E2" w:rsidRDefault="008308E2" w:rsidP="008308E2">
      <w:pPr>
        <w:spacing w:after="0"/>
        <w:ind w:right="-330"/>
        <w:rPr>
          <w:rFonts w:cs="Arial"/>
          <w:b/>
        </w:rPr>
      </w:pPr>
      <w:r w:rsidRPr="008308E2">
        <w:rPr>
          <w:rFonts w:cs="Arial"/>
          <w:b/>
        </w:rPr>
        <w:t>3</w:t>
      </w:r>
      <w:r>
        <w:rPr>
          <w:rFonts w:cs="Arial"/>
          <w:b/>
        </w:rPr>
        <w:t>.</w:t>
      </w:r>
      <w:r w:rsidRPr="008308E2">
        <w:rPr>
          <w:rFonts w:cs="Arial"/>
          <w:b/>
        </w:rPr>
        <w:tab/>
        <w:t>Reserves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Pr="008308E2" w:rsidRDefault="008308E2" w:rsidP="008308E2">
      <w:pPr>
        <w:spacing w:after="0"/>
        <w:ind w:right="-330"/>
        <w:rPr>
          <w:rFonts w:cs="Arial"/>
          <w:b/>
        </w:rPr>
      </w:pPr>
      <w:r w:rsidRPr="008308E2">
        <w:rPr>
          <w:rFonts w:cs="Arial"/>
          <w:b/>
        </w:rPr>
        <w:t>3.1</w:t>
      </w:r>
      <w:r w:rsidRPr="008308E2">
        <w:rPr>
          <w:rFonts w:cs="Arial"/>
          <w:b/>
        </w:rPr>
        <w:tab/>
        <w:t>County Fund Balance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P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The County Fund balance is the general balance that is required to be held to cover emergency expenditure; as a contingency against demand led expenditure being higher than anticipated; if costs increase by more than provided for in the budget (especially pay awards); loss of income and general cash flow purposes.</w:t>
      </w:r>
      <w:r>
        <w:rPr>
          <w:rFonts w:cs="Arial"/>
        </w:rPr>
        <w:t xml:space="preserve"> </w:t>
      </w:r>
      <w:r w:rsidRPr="008308E2">
        <w:rPr>
          <w:rFonts w:cs="Arial"/>
        </w:rPr>
        <w:t xml:space="preserve"> In considering these various factors the County </w:t>
      </w:r>
      <w:r w:rsidR="00224312">
        <w:rPr>
          <w:rFonts w:cs="Arial"/>
        </w:rPr>
        <w:t>Council has held a County Fund b</w:t>
      </w:r>
      <w:r w:rsidRPr="008308E2">
        <w:rPr>
          <w:rFonts w:cs="Arial"/>
        </w:rPr>
        <w:t>alance at £36m.</w:t>
      </w:r>
      <w:r>
        <w:rPr>
          <w:rFonts w:cs="Arial"/>
        </w:rPr>
        <w:t xml:space="preserve"> </w:t>
      </w:r>
      <w:r w:rsidR="00E273DB">
        <w:rPr>
          <w:rFonts w:cs="Arial"/>
        </w:rPr>
        <w:t xml:space="preserve"> It is anticipated that the County F</w:t>
      </w:r>
      <w:r w:rsidRPr="008308E2">
        <w:rPr>
          <w:rFonts w:cs="Arial"/>
        </w:rPr>
        <w:t>und will be maintained at this level.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Pr="008308E2" w:rsidRDefault="008308E2" w:rsidP="008308E2">
      <w:pPr>
        <w:spacing w:after="0"/>
        <w:ind w:right="-330"/>
        <w:rPr>
          <w:rFonts w:cs="Arial"/>
          <w:b/>
        </w:rPr>
      </w:pPr>
      <w:r>
        <w:rPr>
          <w:rFonts w:cs="Arial"/>
          <w:b/>
        </w:rPr>
        <w:t>3.2</w:t>
      </w:r>
      <w:r>
        <w:rPr>
          <w:rFonts w:cs="Arial"/>
          <w:b/>
        </w:rPr>
        <w:tab/>
      </w:r>
      <w:r w:rsidRPr="008308E2">
        <w:rPr>
          <w:rFonts w:cs="Arial"/>
          <w:b/>
        </w:rPr>
        <w:t>Bu</w:t>
      </w:r>
      <w:r w:rsidR="00224312">
        <w:rPr>
          <w:rFonts w:cs="Arial"/>
          <w:b/>
        </w:rPr>
        <w:t>siness Rates Volatility Reserve</w:t>
      </w:r>
    </w:p>
    <w:p w:rsidR="008308E2" w:rsidRPr="008308E2" w:rsidRDefault="008308E2" w:rsidP="008308E2">
      <w:pPr>
        <w:spacing w:after="0"/>
        <w:ind w:right="-330"/>
        <w:rPr>
          <w:rFonts w:cs="Arial"/>
          <w:b/>
        </w:rPr>
      </w:pPr>
    </w:p>
    <w:p w:rsidR="008308E2" w:rsidRP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 xml:space="preserve">Business rates are an increasingly important source of finance for local authorities. </w:t>
      </w:r>
      <w:r w:rsidR="00224312">
        <w:rPr>
          <w:rFonts w:cs="Arial"/>
        </w:rPr>
        <w:t xml:space="preserve"> </w:t>
      </w:r>
      <w:r w:rsidRPr="008308E2">
        <w:rPr>
          <w:rFonts w:cs="Arial"/>
        </w:rPr>
        <w:t xml:space="preserve">However, the income to be derived can be very difficult to predict and can fluctuate significantly. </w:t>
      </w:r>
      <w:r>
        <w:rPr>
          <w:rFonts w:cs="Arial"/>
        </w:rPr>
        <w:t xml:space="preserve"> </w:t>
      </w:r>
      <w:r w:rsidRPr="008308E2">
        <w:rPr>
          <w:rFonts w:cs="Arial"/>
        </w:rPr>
        <w:t xml:space="preserve">This situation arises as the business rates depend upon the growth in the rateable value and the impact of any valuation appeals. </w:t>
      </w:r>
      <w:r>
        <w:rPr>
          <w:rFonts w:cs="Arial"/>
        </w:rPr>
        <w:t xml:space="preserve"> </w:t>
      </w:r>
      <w:r w:rsidRPr="008308E2">
        <w:rPr>
          <w:rFonts w:cs="Arial"/>
        </w:rPr>
        <w:t>In the last quarter of the 2014/15 financial year there was a surge in the number of valuation appeals submitted.</w:t>
      </w:r>
      <w:r>
        <w:rPr>
          <w:rFonts w:cs="Arial"/>
        </w:rPr>
        <w:t xml:space="preserve"> </w:t>
      </w:r>
      <w:r w:rsidRPr="008308E2">
        <w:rPr>
          <w:rFonts w:cs="Arial"/>
        </w:rPr>
        <w:t xml:space="preserve"> The results of these are not known therefore representing a risk around the income to be received. In addition, there is to be a national review of the business rates system</w:t>
      </w:r>
      <w:r w:rsidR="00224312">
        <w:rPr>
          <w:rFonts w:cs="Arial"/>
        </w:rPr>
        <w:t>,</w:t>
      </w:r>
      <w:r w:rsidRPr="008308E2">
        <w:rPr>
          <w:rFonts w:cs="Arial"/>
        </w:rPr>
        <w:t xml:space="preserve"> details of which are not anticipated to be released before March 2016. </w:t>
      </w:r>
      <w:r>
        <w:rPr>
          <w:rFonts w:cs="Arial"/>
        </w:rPr>
        <w:t xml:space="preserve"> </w:t>
      </w:r>
      <w:r w:rsidRPr="008308E2">
        <w:rPr>
          <w:rFonts w:cs="Arial"/>
        </w:rPr>
        <w:t xml:space="preserve">Even if the result of the review does not impact upon the total amount of business rates at the national level there is a potential for individual authorities to be either 'winners' or 'losers' in the overall allocation. </w:t>
      </w:r>
      <w:r>
        <w:rPr>
          <w:rFonts w:cs="Arial"/>
        </w:rPr>
        <w:t xml:space="preserve"> </w:t>
      </w:r>
      <w:r w:rsidRPr="008308E2">
        <w:rPr>
          <w:rFonts w:cs="Arial"/>
        </w:rPr>
        <w:t>Consequently, it is deemed prudent to maintain this reserve at its current level until the results of the review are known.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Default="008308E2" w:rsidP="008308E2">
      <w:pPr>
        <w:spacing w:after="0"/>
        <w:ind w:right="-330"/>
        <w:rPr>
          <w:rFonts w:cs="Arial"/>
          <w:b/>
        </w:rPr>
      </w:pPr>
      <w:r>
        <w:rPr>
          <w:rFonts w:cs="Arial"/>
          <w:b/>
        </w:rPr>
        <w:t>3.3</w:t>
      </w:r>
      <w:r>
        <w:rPr>
          <w:rFonts w:cs="Arial"/>
          <w:b/>
        </w:rPr>
        <w:tab/>
      </w:r>
      <w:r w:rsidRPr="008308E2">
        <w:rPr>
          <w:rFonts w:cs="Arial"/>
          <w:b/>
        </w:rPr>
        <w:t>Strategic Investment Reserve</w:t>
      </w:r>
    </w:p>
    <w:p w:rsidR="008308E2" w:rsidRPr="008308E2" w:rsidRDefault="008308E2" w:rsidP="008308E2">
      <w:pPr>
        <w:spacing w:after="0"/>
        <w:ind w:right="-330"/>
        <w:rPr>
          <w:rFonts w:cs="Arial"/>
          <w:b/>
        </w:rPr>
      </w:pPr>
    </w:p>
    <w:p w:rsid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This reserve is held to fund an agreed programme of investment in areas in</w:t>
      </w:r>
      <w:r w:rsidR="00E273DB">
        <w:rPr>
          <w:rFonts w:cs="Arial"/>
        </w:rPr>
        <w:t>cluding, economic development, l</w:t>
      </w:r>
      <w:r w:rsidRPr="008308E2">
        <w:rPr>
          <w:rFonts w:cs="Arial"/>
        </w:rPr>
        <w:t>ibraries regeneration, increasing employment opportunities and the development of apprenticeship programmes.</w:t>
      </w:r>
      <w:r>
        <w:rPr>
          <w:rFonts w:cs="Arial"/>
        </w:rPr>
        <w:t xml:space="preserve"> </w:t>
      </w:r>
      <w:r w:rsidRPr="008308E2">
        <w:rPr>
          <w:rFonts w:cs="Arial"/>
        </w:rPr>
        <w:t xml:space="preserve"> As at 1</w:t>
      </w:r>
      <w:r w:rsidRPr="008308E2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 w:rsidRPr="008308E2">
        <w:rPr>
          <w:rFonts w:cs="Arial"/>
        </w:rPr>
        <w:t>April 2015 this had a balance of £</w:t>
      </w:r>
      <w:r w:rsidRPr="0097747C">
        <w:rPr>
          <w:rFonts w:cs="Arial"/>
        </w:rPr>
        <w:t>21.391m.</w:t>
      </w:r>
      <w:r w:rsidRPr="008308E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8308E2">
        <w:rPr>
          <w:rFonts w:cs="Arial"/>
        </w:rPr>
        <w:t>There are approved commitments of £</w:t>
      </w:r>
      <w:r w:rsidR="0097747C" w:rsidRPr="0097747C">
        <w:rPr>
          <w:rFonts w:cs="Arial"/>
        </w:rPr>
        <w:t>20.375</w:t>
      </w:r>
      <w:r w:rsidRPr="0097747C">
        <w:rPr>
          <w:rFonts w:cs="Arial"/>
        </w:rPr>
        <w:t>m</w:t>
      </w:r>
      <w:r w:rsidRPr="008308E2">
        <w:rPr>
          <w:rFonts w:cs="Arial"/>
        </w:rPr>
        <w:t xml:space="preserve"> reducing the balance to </w:t>
      </w:r>
      <w:r w:rsidR="0097747C">
        <w:rPr>
          <w:rFonts w:cs="Arial"/>
        </w:rPr>
        <w:t>show £1.016</w:t>
      </w:r>
      <w:r w:rsidRPr="0097747C">
        <w:rPr>
          <w:rFonts w:cs="Arial"/>
        </w:rPr>
        <w:t>m</w:t>
      </w:r>
      <w:r w:rsidRPr="008308E2">
        <w:rPr>
          <w:rFonts w:cs="Arial"/>
        </w:rPr>
        <w:t xml:space="preserve">.  Details of the </w:t>
      </w:r>
      <w:r w:rsidR="00297702">
        <w:rPr>
          <w:rFonts w:cs="Arial"/>
        </w:rPr>
        <w:t xml:space="preserve">approved </w:t>
      </w:r>
      <w:r w:rsidRPr="008308E2">
        <w:rPr>
          <w:rFonts w:cs="Arial"/>
        </w:rPr>
        <w:t>commitments are shown in Annex A</w:t>
      </w:r>
      <w:r w:rsidR="00A53AE1">
        <w:rPr>
          <w:rFonts w:cs="Arial"/>
        </w:rPr>
        <w:t>.</w:t>
      </w:r>
    </w:p>
    <w:p w:rsidR="00A53AE1" w:rsidRDefault="00A53AE1" w:rsidP="008308E2">
      <w:pPr>
        <w:spacing w:after="0"/>
        <w:ind w:right="-330"/>
        <w:rPr>
          <w:rFonts w:cs="Arial"/>
        </w:rPr>
      </w:pPr>
    </w:p>
    <w:p w:rsidR="00A53AE1" w:rsidRPr="008308E2" w:rsidRDefault="00E84D3F" w:rsidP="00E84D3F">
      <w:pPr>
        <w:tabs>
          <w:tab w:val="left" w:pos="851"/>
        </w:tabs>
        <w:spacing w:after="0"/>
        <w:ind w:left="851" w:right="-330" w:hanging="851"/>
        <w:rPr>
          <w:rFonts w:cs="Arial"/>
        </w:rPr>
      </w:pPr>
      <w:r>
        <w:rPr>
          <w:rFonts w:cs="Arial"/>
        </w:rPr>
        <w:lastRenderedPageBreak/>
        <w:t>Note:</w:t>
      </w:r>
      <w:r>
        <w:rPr>
          <w:rFonts w:cs="Arial"/>
        </w:rPr>
        <w:tab/>
      </w:r>
      <w:r w:rsidR="00A53AE1">
        <w:rPr>
          <w:rFonts w:cs="Arial"/>
        </w:rPr>
        <w:t xml:space="preserve">on reviewing the </w:t>
      </w:r>
      <w:r w:rsidR="0097747C">
        <w:rPr>
          <w:rFonts w:cs="Arial"/>
        </w:rPr>
        <w:t>reserves</w:t>
      </w:r>
      <w:r w:rsidR="00A53AE1">
        <w:rPr>
          <w:rFonts w:cs="Arial"/>
        </w:rPr>
        <w:t xml:space="preserve"> it </w:t>
      </w:r>
      <w:r>
        <w:rPr>
          <w:rFonts w:cs="Arial"/>
        </w:rPr>
        <w:t>wa</w:t>
      </w:r>
      <w:r w:rsidR="00A53AE1">
        <w:rPr>
          <w:rFonts w:cs="Arial"/>
        </w:rPr>
        <w:t xml:space="preserve">s clear that there </w:t>
      </w:r>
      <w:r>
        <w:rPr>
          <w:rFonts w:cs="Arial"/>
        </w:rPr>
        <w:t>we</w:t>
      </w:r>
      <w:r w:rsidR="00A53AE1">
        <w:rPr>
          <w:rFonts w:cs="Arial"/>
        </w:rPr>
        <w:t>re £</w:t>
      </w:r>
      <w:r w:rsidR="00AD163D">
        <w:rPr>
          <w:rFonts w:cs="Arial"/>
        </w:rPr>
        <w:t>22.691</w:t>
      </w:r>
      <w:r w:rsidR="00A53AE1" w:rsidRPr="0097747C">
        <w:rPr>
          <w:rFonts w:cs="Arial"/>
        </w:rPr>
        <w:t>m</w:t>
      </w:r>
      <w:r w:rsidR="00A53AE1">
        <w:rPr>
          <w:rFonts w:cs="Arial"/>
        </w:rPr>
        <w:t xml:space="preserve"> of strategic investments that require</w:t>
      </w:r>
      <w:r>
        <w:rPr>
          <w:rFonts w:cs="Arial"/>
        </w:rPr>
        <w:t>d</w:t>
      </w:r>
      <w:r w:rsidR="00A53AE1">
        <w:rPr>
          <w:rFonts w:cs="Arial"/>
        </w:rPr>
        <w:t xml:space="preserve"> financing by reallocat</w:t>
      </w:r>
      <w:r w:rsidR="00495B01">
        <w:rPr>
          <w:rFonts w:cs="Arial"/>
        </w:rPr>
        <w:t>ing an equivalent sum from the R</w:t>
      </w:r>
      <w:r w:rsidR="00A53AE1">
        <w:rPr>
          <w:rFonts w:cs="Arial"/>
        </w:rPr>
        <w:t xml:space="preserve">isk </w:t>
      </w:r>
      <w:r w:rsidR="00495B01">
        <w:rPr>
          <w:rFonts w:cs="Arial"/>
        </w:rPr>
        <w:t>M</w:t>
      </w:r>
      <w:r w:rsidR="00A53AE1">
        <w:rPr>
          <w:rFonts w:cs="Arial"/>
        </w:rPr>
        <w:t xml:space="preserve">anagement </w:t>
      </w:r>
      <w:r w:rsidR="00495B01">
        <w:rPr>
          <w:rFonts w:cs="Arial"/>
        </w:rPr>
        <w:t>R</w:t>
      </w:r>
      <w:r w:rsidR="00A53AE1">
        <w:rPr>
          <w:rFonts w:cs="Arial"/>
        </w:rPr>
        <w:t>e</w:t>
      </w:r>
      <w:r w:rsidR="00495B01">
        <w:rPr>
          <w:rFonts w:cs="Arial"/>
        </w:rPr>
        <w:t>s</w:t>
      </w:r>
      <w:r w:rsidR="00A53AE1">
        <w:rPr>
          <w:rFonts w:cs="Arial"/>
        </w:rPr>
        <w:t>e</w:t>
      </w:r>
      <w:r w:rsidR="00495B01">
        <w:rPr>
          <w:rFonts w:cs="Arial"/>
        </w:rPr>
        <w:t>rv</w:t>
      </w:r>
      <w:r w:rsidR="00A53AE1">
        <w:rPr>
          <w:rFonts w:cs="Arial"/>
        </w:rPr>
        <w:t>e.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AE0B1C" w:rsidRDefault="00AE0B1C">
      <w:pPr>
        <w:autoSpaceDE/>
        <w:autoSpaceDN/>
        <w:adjustRightInd/>
        <w:spacing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8308E2" w:rsidRDefault="008308E2" w:rsidP="008308E2">
      <w:pPr>
        <w:spacing w:after="0"/>
        <w:ind w:right="-330"/>
        <w:rPr>
          <w:rFonts w:cs="Arial"/>
          <w:b/>
        </w:rPr>
      </w:pPr>
      <w:r w:rsidRPr="008308E2">
        <w:rPr>
          <w:rFonts w:cs="Arial"/>
          <w:b/>
        </w:rPr>
        <w:lastRenderedPageBreak/>
        <w:t>3.4</w:t>
      </w:r>
      <w:r>
        <w:rPr>
          <w:rFonts w:cs="Arial"/>
          <w:b/>
        </w:rPr>
        <w:tab/>
      </w:r>
      <w:r w:rsidRPr="008308E2">
        <w:rPr>
          <w:rFonts w:cs="Arial"/>
          <w:b/>
        </w:rPr>
        <w:t xml:space="preserve">Reserves held to deliver Organisational Change </w:t>
      </w:r>
    </w:p>
    <w:p w:rsidR="00A31B9F" w:rsidRPr="008308E2" w:rsidRDefault="00A31B9F" w:rsidP="008308E2">
      <w:pPr>
        <w:spacing w:after="0"/>
        <w:ind w:right="-330"/>
        <w:rPr>
          <w:rFonts w:cs="Arial"/>
          <w:b/>
        </w:rPr>
      </w:pPr>
    </w:p>
    <w:p w:rsid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The County has two reserves to deliver organisational change namely the Downsizing Reserve and the Risk Management Reserve.</w:t>
      </w:r>
    </w:p>
    <w:p w:rsidR="00224312" w:rsidRDefault="00224312">
      <w:pPr>
        <w:autoSpaceDE/>
        <w:autoSpaceDN/>
        <w:adjustRightInd/>
        <w:spacing w:after="0"/>
        <w:jc w:val="left"/>
        <w:rPr>
          <w:rFonts w:cs="Arial"/>
        </w:rPr>
      </w:pPr>
    </w:p>
    <w:p w:rsidR="008308E2" w:rsidRDefault="00A31B9F" w:rsidP="008308E2">
      <w:pPr>
        <w:spacing w:after="0"/>
        <w:ind w:right="-330"/>
        <w:rPr>
          <w:rFonts w:cs="Arial"/>
        </w:rPr>
      </w:pPr>
      <w:r>
        <w:rPr>
          <w:rFonts w:cs="Arial"/>
        </w:rPr>
        <w:t>3.4.1</w:t>
      </w:r>
      <w:r>
        <w:rPr>
          <w:rFonts w:cs="Arial"/>
        </w:rPr>
        <w:tab/>
      </w:r>
      <w:r w:rsidR="008308E2" w:rsidRPr="008308E2">
        <w:rPr>
          <w:rFonts w:cs="Arial"/>
        </w:rPr>
        <w:t>Downsizing Reserve</w:t>
      </w:r>
    </w:p>
    <w:p w:rsidR="00A31B9F" w:rsidRPr="008308E2" w:rsidRDefault="00A31B9F" w:rsidP="008308E2">
      <w:pPr>
        <w:spacing w:after="0"/>
        <w:ind w:right="-330"/>
        <w:rPr>
          <w:rFonts w:cs="Arial"/>
        </w:rPr>
      </w:pPr>
    </w:p>
    <w:p w:rsidR="00876C85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The Downsizing Reserve is predomina</w:t>
      </w:r>
      <w:r w:rsidR="00224312">
        <w:rPr>
          <w:rFonts w:cs="Arial"/>
        </w:rPr>
        <w:t>n</w:t>
      </w:r>
      <w:r w:rsidRPr="008308E2">
        <w:rPr>
          <w:rFonts w:cs="Arial"/>
        </w:rPr>
        <w:t xml:space="preserve">tly used to fund voluntary redundancies arising from the reduction in the size of the organisation which is the outcome of the recent and future period of austerity. </w:t>
      </w:r>
      <w:r w:rsidR="00A31B9F">
        <w:rPr>
          <w:rFonts w:cs="Arial"/>
        </w:rPr>
        <w:t xml:space="preserve"> </w:t>
      </w:r>
      <w:r w:rsidRPr="008308E2">
        <w:rPr>
          <w:rFonts w:cs="Arial"/>
        </w:rPr>
        <w:t>The opening balance was £</w:t>
      </w:r>
      <w:r w:rsidRPr="0039333E">
        <w:rPr>
          <w:rFonts w:cs="Arial"/>
        </w:rPr>
        <w:t>80.606m</w:t>
      </w:r>
      <w:r w:rsidRPr="008308E2">
        <w:rPr>
          <w:rFonts w:cs="Arial"/>
        </w:rPr>
        <w:t xml:space="preserve"> of </w:t>
      </w:r>
      <w:r w:rsidRPr="0039333E">
        <w:rPr>
          <w:rFonts w:cs="Arial"/>
        </w:rPr>
        <w:t>which £</w:t>
      </w:r>
      <w:r w:rsidR="0039333E" w:rsidRPr="0039333E">
        <w:rPr>
          <w:rFonts w:cs="Arial"/>
        </w:rPr>
        <w:t>84.560</w:t>
      </w:r>
      <w:r w:rsidRPr="0039333E">
        <w:rPr>
          <w:rFonts w:cs="Arial"/>
        </w:rPr>
        <w:t>m</w:t>
      </w:r>
      <w:r w:rsidRPr="008308E2">
        <w:rPr>
          <w:rFonts w:cs="Arial"/>
        </w:rPr>
        <w:t xml:space="preserve"> is committed leaving </w:t>
      </w:r>
      <w:r w:rsidR="0039333E">
        <w:rPr>
          <w:rFonts w:cs="Arial"/>
        </w:rPr>
        <w:t xml:space="preserve">anoverspend of </w:t>
      </w:r>
      <w:r w:rsidRPr="0039333E">
        <w:rPr>
          <w:rFonts w:cs="Arial"/>
        </w:rPr>
        <w:t>£</w:t>
      </w:r>
      <w:r w:rsidR="0039333E" w:rsidRPr="0039333E">
        <w:rPr>
          <w:rFonts w:cs="Arial"/>
        </w:rPr>
        <w:t>3.954</w:t>
      </w:r>
      <w:r w:rsidRPr="0039333E">
        <w:rPr>
          <w:rFonts w:cs="Arial"/>
        </w:rPr>
        <w:t>m</w:t>
      </w:r>
      <w:r w:rsidR="00EC5799">
        <w:rPr>
          <w:rFonts w:cs="Arial"/>
        </w:rPr>
        <w:t xml:space="preserve">. </w:t>
      </w:r>
    </w:p>
    <w:p w:rsidR="00122701" w:rsidRDefault="00122701" w:rsidP="008308E2">
      <w:pPr>
        <w:spacing w:after="0"/>
        <w:ind w:right="-330"/>
        <w:rPr>
          <w:rFonts w:cs="Arial"/>
        </w:rPr>
      </w:pPr>
    </w:p>
    <w:p w:rsidR="00876C85" w:rsidRDefault="00876C85" w:rsidP="008308E2">
      <w:pPr>
        <w:spacing w:after="0"/>
        <w:ind w:right="-330"/>
        <w:rPr>
          <w:rFonts w:cs="Arial"/>
        </w:rPr>
      </w:pPr>
      <w:r w:rsidRPr="009232BC">
        <w:rPr>
          <w:rFonts w:cs="Arial"/>
        </w:rPr>
        <w:t xml:space="preserve">Note: on reviewing the reserves it is clear that the £3.954m </w:t>
      </w:r>
      <w:r w:rsidR="009232BC" w:rsidRPr="009232BC">
        <w:rPr>
          <w:rFonts w:cs="Arial"/>
        </w:rPr>
        <w:t>will</w:t>
      </w:r>
      <w:r w:rsidRPr="009232BC">
        <w:rPr>
          <w:rFonts w:cs="Arial"/>
        </w:rPr>
        <w:t xml:space="preserve"> require financing by reallocating an equivalent sum from the Risk Management Reserve.</w:t>
      </w:r>
    </w:p>
    <w:p w:rsidR="0039333E" w:rsidRDefault="0039333E" w:rsidP="008308E2">
      <w:pPr>
        <w:spacing w:after="0"/>
        <w:ind w:right="-330"/>
        <w:rPr>
          <w:rFonts w:cs="Arial"/>
        </w:rPr>
      </w:pPr>
    </w:p>
    <w:p w:rsidR="0039333E" w:rsidRDefault="00122701" w:rsidP="008308E2">
      <w:pPr>
        <w:spacing w:after="0"/>
        <w:ind w:right="-330"/>
        <w:rPr>
          <w:rFonts w:cs="Arial"/>
        </w:rPr>
      </w:pPr>
      <w:r>
        <w:rPr>
          <w:rFonts w:cs="Arial"/>
        </w:rPr>
        <w:t>Regarding the redundancy position, o</w:t>
      </w:r>
      <w:r w:rsidR="0039333E">
        <w:rPr>
          <w:rFonts w:cs="Arial"/>
        </w:rPr>
        <w:t>riginally £79m was set aside of which £12.284m was incurred during 2014/15 leaving £66.716m of the opening balance on 1</w:t>
      </w:r>
      <w:r w:rsidR="0039333E" w:rsidRPr="0039333E">
        <w:rPr>
          <w:rFonts w:cs="Arial"/>
          <w:vertAlign w:val="superscript"/>
        </w:rPr>
        <w:t>st</w:t>
      </w:r>
      <w:r w:rsidR="0039333E">
        <w:rPr>
          <w:rFonts w:cs="Arial"/>
        </w:rPr>
        <w:t xml:space="preserve"> April 2015 for redundancies.  We are now forecasting £11.102m will be incurred in 2015/16 with £41.711m falling in 2016/17 and £13.904m in 2017/18.</w:t>
      </w:r>
    </w:p>
    <w:p w:rsidR="00A31B9F" w:rsidRDefault="00A31B9F">
      <w:pPr>
        <w:autoSpaceDE/>
        <w:autoSpaceDN/>
        <w:adjustRightInd/>
        <w:spacing w:after="0"/>
        <w:jc w:val="left"/>
        <w:rPr>
          <w:rFonts w:cs="Arial"/>
        </w:rPr>
      </w:pPr>
    </w:p>
    <w:p w:rsid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3.4.2</w:t>
      </w:r>
      <w:r w:rsidR="00A31B9F">
        <w:rPr>
          <w:rFonts w:cs="Arial"/>
        </w:rPr>
        <w:tab/>
      </w:r>
      <w:r w:rsidRPr="008308E2">
        <w:rPr>
          <w:rFonts w:cs="Arial"/>
        </w:rPr>
        <w:t>Risk Management Reserve</w:t>
      </w:r>
    </w:p>
    <w:p w:rsidR="00A31B9F" w:rsidRPr="008308E2" w:rsidRDefault="00A31B9F" w:rsidP="008308E2">
      <w:pPr>
        <w:spacing w:after="0"/>
        <w:ind w:right="-330"/>
        <w:rPr>
          <w:rFonts w:cs="Arial"/>
        </w:rPr>
      </w:pPr>
    </w:p>
    <w:p w:rsid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The Risk Management Reserve was made up as a result of extr</w:t>
      </w:r>
      <w:r w:rsidR="00224312">
        <w:rPr>
          <w:rFonts w:cs="Arial"/>
        </w:rPr>
        <w:t>a</w:t>
      </w:r>
      <w:r w:rsidR="005C2638">
        <w:rPr>
          <w:rFonts w:cs="Arial"/>
        </w:rPr>
        <w:t>ordinary Treasury Management p</w:t>
      </w:r>
      <w:r w:rsidRPr="008308E2">
        <w:rPr>
          <w:rFonts w:cs="Arial"/>
        </w:rPr>
        <w:t>erformance during 2014/15</w:t>
      </w:r>
      <w:r w:rsidR="00A53AE1">
        <w:rPr>
          <w:rFonts w:cs="Arial"/>
        </w:rPr>
        <w:t xml:space="preserve"> and previous years</w:t>
      </w:r>
      <w:r w:rsidRPr="008308E2">
        <w:rPr>
          <w:rFonts w:cs="Arial"/>
        </w:rPr>
        <w:t>.  This reserve is now available to help the authority manage risks to funding and service delivery going forward.</w:t>
      </w:r>
      <w:r w:rsidR="00EC5799">
        <w:rPr>
          <w:rFonts w:cs="Arial"/>
        </w:rPr>
        <w:t xml:space="preserve">  </w:t>
      </w:r>
      <w:r w:rsidR="00D23F0F">
        <w:rPr>
          <w:rFonts w:cs="Arial"/>
        </w:rPr>
        <w:t>This reserve had an opening balance of £82.</w:t>
      </w:r>
      <w:r w:rsidR="00BA0228">
        <w:rPr>
          <w:rFonts w:cs="Arial"/>
        </w:rPr>
        <w:t>020m with commitments of £5</w:t>
      </w:r>
      <w:r w:rsidR="00816112">
        <w:rPr>
          <w:rFonts w:cs="Arial"/>
        </w:rPr>
        <w:t>7</w:t>
      </w:r>
      <w:r w:rsidR="00BA0228">
        <w:rPr>
          <w:rFonts w:cs="Arial"/>
        </w:rPr>
        <w:t>.74</w:t>
      </w:r>
      <w:r w:rsidR="00AD163D">
        <w:rPr>
          <w:rFonts w:cs="Arial"/>
        </w:rPr>
        <w:t>2</w:t>
      </w:r>
      <w:r w:rsidR="00BA0228">
        <w:rPr>
          <w:rFonts w:cs="Arial"/>
        </w:rPr>
        <w:t>m, leaving a balance of £</w:t>
      </w:r>
      <w:r w:rsidR="00816112">
        <w:rPr>
          <w:rFonts w:cs="Arial"/>
        </w:rPr>
        <w:t>24</w:t>
      </w:r>
      <w:r w:rsidR="00BA0228">
        <w:rPr>
          <w:rFonts w:cs="Arial"/>
        </w:rPr>
        <w:t>.27</w:t>
      </w:r>
      <w:r w:rsidR="00AD163D">
        <w:rPr>
          <w:rFonts w:cs="Arial"/>
        </w:rPr>
        <w:t>8</w:t>
      </w:r>
      <w:r w:rsidR="00D23F0F">
        <w:rPr>
          <w:rFonts w:cs="Arial"/>
        </w:rPr>
        <w:t xml:space="preserve">m.  </w:t>
      </w:r>
      <w:r w:rsidR="00EC5799">
        <w:rPr>
          <w:rFonts w:cs="Arial"/>
        </w:rPr>
        <w:t>How</w:t>
      </w:r>
      <w:r w:rsidR="00AD163D">
        <w:rPr>
          <w:rFonts w:cs="Arial"/>
        </w:rPr>
        <w:t>ever £26.645</w:t>
      </w:r>
      <w:r w:rsidR="00EC5799">
        <w:rPr>
          <w:rFonts w:cs="Arial"/>
        </w:rPr>
        <w:t xml:space="preserve">m of this budget needs to be transferred to the Strategic Investment Reserve </w:t>
      </w:r>
      <w:r w:rsidR="009232BC">
        <w:rPr>
          <w:rFonts w:cs="Arial"/>
        </w:rPr>
        <w:t xml:space="preserve">and Downsizing Reserve </w:t>
      </w:r>
      <w:r w:rsidR="00EC5799">
        <w:rPr>
          <w:rFonts w:cs="Arial"/>
        </w:rPr>
        <w:t>as detailed in 3.3</w:t>
      </w:r>
      <w:r w:rsidR="005C2638">
        <w:rPr>
          <w:rFonts w:cs="Arial"/>
        </w:rPr>
        <w:t xml:space="preserve"> and 3.4.1, leaving </w:t>
      </w:r>
      <w:r w:rsidR="00816112">
        <w:rPr>
          <w:rFonts w:cs="Arial"/>
        </w:rPr>
        <w:t xml:space="preserve">an over committed position of </w:t>
      </w:r>
      <w:r w:rsidR="005C2638">
        <w:rPr>
          <w:rFonts w:cs="Arial"/>
        </w:rPr>
        <w:t>£</w:t>
      </w:r>
      <w:r w:rsidR="00816112">
        <w:rPr>
          <w:rFonts w:cs="Arial"/>
        </w:rPr>
        <w:t>2.367</w:t>
      </w:r>
      <w:r w:rsidR="00EC5799">
        <w:rPr>
          <w:rFonts w:cs="Arial"/>
        </w:rPr>
        <w:t>m.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Details of the commitments are shown in Annex B</w:t>
      </w:r>
      <w:r w:rsidR="00535451">
        <w:rPr>
          <w:rFonts w:cs="Arial"/>
        </w:rPr>
        <w:t>.</w:t>
      </w:r>
    </w:p>
    <w:p w:rsidR="00A31B9F" w:rsidRPr="008308E2" w:rsidRDefault="00A31B9F" w:rsidP="008308E2">
      <w:pPr>
        <w:spacing w:after="0"/>
        <w:ind w:right="-330"/>
        <w:rPr>
          <w:rFonts w:cs="Arial"/>
        </w:rPr>
      </w:pPr>
    </w:p>
    <w:p w:rsidR="008308E2" w:rsidRPr="008308E2" w:rsidRDefault="00EF5462" w:rsidP="008308E2">
      <w:pPr>
        <w:spacing w:after="0"/>
        <w:ind w:right="-330"/>
        <w:rPr>
          <w:rFonts w:cs="Arial"/>
          <w:b/>
        </w:rPr>
      </w:pPr>
      <w:r>
        <w:rPr>
          <w:rFonts w:cs="Arial"/>
          <w:b/>
        </w:rPr>
        <w:t>3.5</w:t>
      </w:r>
      <w:r>
        <w:rPr>
          <w:rFonts w:cs="Arial"/>
          <w:b/>
        </w:rPr>
        <w:tab/>
      </w:r>
      <w:r w:rsidR="008308E2" w:rsidRPr="008308E2">
        <w:rPr>
          <w:rFonts w:cs="Arial"/>
          <w:b/>
        </w:rPr>
        <w:t>Service Reserves</w:t>
      </w:r>
    </w:p>
    <w:p w:rsidR="00A31B9F" w:rsidRDefault="00A31B9F" w:rsidP="008308E2">
      <w:pPr>
        <w:spacing w:after="0"/>
        <w:ind w:right="-330"/>
        <w:rPr>
          <w:rFonts w:cs="Arial"/>
        </w:rPr>
      </w:pPr>
    </w:p>
    <w:p w:rsid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>The County Council hold numerous reserves for specific service provision</w:t>
      </w:r>
      <w:r w:rsidR="00224312">
        <w:rPr>
          <w:rFonts w:cs="Arial"/>
        </w:rPr>
        <w:t xml:space="preserve">. </w:t>
      </w:r>
      <w:r w:rsidRPr="008308E2">
        <w:rPr>
          <w:rFonts w:cs="Arial"/>
        </w:rPr>
        <w:t xml:space="preserve"> </w:t>
      </w:r>
      <w:r w:rsidR="00224312">
        <w:rPr>
          <w:rFonts w:cs="Arial"/>
        </w:rPr>
        <w:t>I</w:t>
      </w:r>
      <w:r w:rsidRPr="008308E2">
        <w:rPr>
          <w:rFonts w:cs="Arial"/>
        </w:rPr>
        <w:t>n total these amounted to £</w:t>
      </w:r>
      <w:r w:rsidRPr="0039333E">
        <w:rPr>
          <w:rFonts w:cs="Arial"/>
        </w:rPr>
        <w:t>103.681m at 1</w:t>
      </w:r>
      <w:r w:rsidR="00A31B9F" w:rsidRPr="0039333E">
        <w:rPr>
          <w:rFonts w:cs="Arial"/>
          <w:vertAlign w:val="superscript"/>
        </w:rPr>
        <w:t>st</w:t>
      </w:r>
      <w:r w:rsidR="00A31B9F" w:rsidRPr="0039333E">
        <w:rPr>
          <w:rFonts w:cs="Arial"/>
        </w:rPr>
        <w:t xml:space="preserve"> </w:t>
      </w:r>
      <w:r w:rsidRPr="0039333E">
        <w:rPr>
          <w:rFonts w:cs="Arial"/>
        </w:rPr>
        <w:t xml:space="preserve">April 2015. </w:t>
      </w:r>
      <w:r w:rsidR="00A31B9F" w:rsidRPr="0039333E">
        <w:rPr>
          <w:rFonts w:cs="Arial"/>
        </w:rPr>
        <w:t xml:space="preserve"> </w:t>
      </w:r>
      <w:r w:rsidRPr="0039333E">
        <w:rPr>
          <w:rFonts w:cs="Arial"/>
        </w:rPr>
        <w:t>The latest monitoring position has identified that these will reduce to £</w:t>
      </w:r>
      <w:r w:rsidR="00297702" w:rsidRPr="0039333E">
        <w:rPr>
          <w:rFonts w:cs="Arial"/>
        </w:rPr>
        <w:t>47.757m</w:t>
      </w:r>
      <w:r w:rsidR="00297702">
        <w:rPr>
          <w:rFonts w:cs="Arial"/>
        </w:rPr>
        <w:t xml:space="preserve"> by </w:t>
      </w:r>
      <w:r w:rsidRPr="008308E2">
        <w:rPr>
          <w:rFonts w:cs="Arial"/>
        </w:rPr>
        <w:t>31</w:t>
      </w:r>
      <w:r w:rsidR="00A31B9F" w:rsidRPr="00A31B9F">
        <w:rPr>
          <w:rFonts w:cs="Arial"/>
          <w:vertAlign w:val="superscript"/>
        </w:rPr>
        <w:t>st</w:t>
      </w:r>
      <w:r w:rsidR="00A31B9F">
        <w:rPr>
          <w:rFonts w:cs="Arial"/>
        </w:rPr>
        <w:t xml:space="preserve"> </w:t>
      </w:r>
      <w:r w:rsidRPr="008308E2">
        <w:rPr>
          <w:rFonts w:cs="Arial"/>
        </w:rPr>
        <w:t>March 201</w:t>
      </w:r>
      <w:r w:rsidR="00297702">
        <w:rPr>
          <w:rFonts w:cs="Arial"/>
        </w:rPr>
        <w:t>8.</w:t>
      </w:r>
      <w:r w:rsidRPr="008308E2">
        <w:rPr>
          <w:rFonts w:cs="Arial"/>
        </w:rPr>
        <w:t xml:space="preserve"> </w:t>
      </w:r>
      <w:r w:rsidR="00A31B9F">
        <w:rPr>
          <w:rFonts w:cs="Arial"/>
        </w:rPr>
        <w:t xml:space="preserve"> </w:t>
      </w:r>
      <w:r w:rsidRPr="008308E2">
        <w:rPr>
          <w:rFonts w:cs="Arial"/>
        </w:rPr>
        <w:t>Details are shown in Annex C.</w:t>
      </w:r>
    </w:p>
    <w:p w:rsidR="00A31B9F" w:rsidRPr="008308E2" w:rsidRDefault="00A31B9F" w:rsidP="008308E2">
      <w:pPr>
        <w:spacing w:after="0"/>
        <w:ind w:right="-330"/>
        <w:rPr>
          <w:rFonts w:cs="Arial"/>
        </w:rPr>
      </w:pPr>
    </w:p>
    <w:p w:rsidR="008308E2" w:rsidRPr="008308E2" w:rsidRDefault="00EF5462" w:rsidP="008308E2">
      <w:pPr>
        <w:spacing w:after="0"/>
        <w:ind w:right="-330"/>
        <w:rPr>
          <w:rFonts w:cs="Arial"/>
          <w:b/>
        </w:rPr>
      </w:pPr>
      <w:r>
        <w:rPr>
          <w:rFonts w:cs="Arial"/>
          <w:b/>
        </w:rPr>
        <w:t>3.6</w:t>
      </w:r>
      <w:r>
        <w:rPr>
          <w:rFonts w:cs="Arial"/>
          <w:b/>
        </w:rPr>
        <w:tab/>
      </w:r>
      <w:r w:rsidR="008308E2" w:rsidRPr="008308E2">
        <w:rPr>
          <w:rFonts w:cs="Arial"/>
          <w:b/>
        </w:rPr>
        <w:t>Schools</w:t>
      </w:r>
    </w:p>
    <w:p w:rsidR="00A31B9F" w:rsidRDefault="00A31B9F" w:rsidP="008308E2">
      <w:pPr>
        <w:spacing w:after="0"/>
        <w:ind w:right="-330"/>
        <w:rPr>
          <w:rFonts w:cs="Arial"/>
        </w:rPr>
      </w:pPr>
    </w:p>
    <w:p w:rsidR="008308E2" w:rsidRPr="008308E2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t xml:space="preserve">Under statute schools have delegated budgets. </w:t>
      </w:r>
      <w:r w:rsidR="00A31B9F">
        <w:rPr>
          <w:rFonts w:cs="Arial"/>
        </w:rPr>
        <w:t xml:space="preserve"> </w:t>
      </w:r>
      <w:r w:rsidRPr="008308E2">
        <w:rPr>
          <w:rFonts w:cs="Arial"/>
        </w:rPr>
        <w:t xml:space="preserve">It is the responsibility of the individual schools to maintain reserves to cover risks and meet future plans. </w:t>
      </w:r>
      <w:r w:rsidR="00A31B9F">
        <w:rPr>
          <w:rFonts w:cs="Arial"/>
        </w:rPr>
        <w:t xml:space="preserve"> </w:t>
      </w:r>
      <w:r w:rsidRPr="008308E2">
        <w:rPr>
          <w:rFonts w:cs="Arial"/>
        </w:rPr>
        <w:t>At this stage the plans are not known in detail to predict when they will be spent however this reserve cannot be used for any other purpose.</w:t>
      </w:r>
    </w:p>
    <w:p w:rsidR="008308E2" w:rsidRPr="008308E2" w:rsidRDefault="008308E2" w:rsidP="008308E2">
      <w:pPr>
        <w:spacing w:after="0"/>
        <w:ind w:right="-330"/>
        <w:rPr>
          <w:rFonts w:cs="Arial"/>
        </w:rPr>
      </w:pPr>
    </w:p>
    <w:p w:rsidR="008308E2" w:rsidRPr="008308E2" w:rsidRDefault="00EF5462" w:rsidP="008308E2">
      <w:pPr>
        <w:spacing w:after="0"/>
        <w:ind w:right="-330"/>
        <w:rPr>
          <w:rFonts w:cs="Arial"/>
          <w:b/>
        </w:rPr>
      </w:pPr>
      <w:r>
        <w:rPr>
          <w:rFonts w:cs="Arial"/>
          <w:b/>
        </w:rPr>
        <w:t>4</w:t>
      </w:r>
      <w:r w:rsidR="00E273DB">
        <w:rPr>
          <w:rFonts w:cs="Arial"/>
          <w:b/>
        </w:rPr>
        <w:t>.</w:t>
      </w:r>
      <w:r>
        <w:rPr>
          <w:rFonts w:cs="Arial"/>
          <w:b/>
        </w:rPr>
        <w:tab/>
      </w:r>
      <w:r w:rsidR="00224312">
        <w:rPr>
          <w:rFonts w:cs="Arial"/>
          <w:b/>
        </w:rPr>
        <w:t>Impact of 2015/16 O</w:t>
      </w:r>
      <w:r w:rsidR="008308E2" w:rsidRPr="008308E2">
        <w:rPr>
          <w:rFonts w:cs="Arial"/>
          <w:b/>
        </w:rPr>
        <w:t>utturn Forecast</w:t>
      </w:r>
    </w:p>
    <w:p w:rsidR="008308E2" w:rsidRPr="008308E2" w:rsidRDefault="008308E2" w:rsidP="008308E2">
      <w:pPr>
        <w:spacing w:after="0"/>
        <w:ind w:right="-330"/>
        <w:rPr>
          <w:rFonts w:cs="Arial"/>
          <w:b/>
        </w:rPr>
      </w:pPr>
    </w:p>
    <w:p w:rsidR="00D23F0F" w:rsidRDefault="008308E2" w:rsidP="008308E2">
      <w:pPr>
        <w:spacing w:after="0"/>
        <w:ind w:right="-330"/>
        <w:rPr>
          <w:rFonts w:cs="Arial"/>
        </w:rPr>
      </w:pPr>
      <w:r w:rsidRPr="008308E2">
        <w:rPr>
          <w:rFonts w:cs="Arial"/>
        </w:rPr>
        <w:lastRenderedPageBreak/>
        <w:t xml:space="preserve">The monitoring report submitted to Cabinet is showing a potential </w:t>
      </w:r>
      <w:r w:rsidR="00A53AE1">
        <w:rPr>
          <w:rFonts w:cs="Arial"/>
        </w:rPr>
        <w:t xml:space="preserve">demand on resources </w:t>
      </w:r>
      <w:r w:rsidRPr="008308E2">
        <w:rPr>
          <w:rFonts w:cs="Arial"/>
        </w:rPr>
        <w:t>of £</w:t>
      </w:r>
      <w:r w:rsidR="00E273DB">
        <w:rPr>
          <w:rFonts w:cs="Arial"/>
        </w:rPr>
        <w:t>33.2</w:t>
      </w:r>
      <w:r w:rsidR="00AE0B1C">
        <w:rPr>
          <w:rFonts w:cs="Arial"/>
        </w:rPr>
        <w:t>51</w:t>
      </w:r>
      <w:r w:rsidRPr="0039333E">
        <w:rPr>
          <w:rFonts w:cs="Arial"/>
        </w:rPr>
        <w:t>m</w:t>
      </w:r>
      <w:r w:rsidR="00A53AE1">
        <w:rPr>
          <w:rFonts w:cs="Arial"/>
        </w:rPr>
        <w:t xml:space="preserve"> as a result of the forecast outturn</w:t>
      </w:r>
      <w:r w:rsidRPr="008308E2">
        <w:rPr>
          <w:rFonts w:cs="Arial"/>
        </w:rPr>
        <w:t>.</w:t>
      </w:r>
      <w:r w:rsidR="00E273DB">
        <w:rPr>
          <w:rFonts w:cs="Arial"/>
        </w:rPr>
        <w:t xml:space="preserve"> </w:t>
      </w:r>
    </w:p>
    <w:p w:rsidR="00A22567" w:rsidRDefault="00A22567" w:rsidP="008308E2">
      <w:pPr>
        <w:spacing w:after="0"/>
        <w:ind w:right="-330"/>
        <w:rPr>
          <w:rFonts w:cs="Arial"/>
        </w:rPr>
      </w:pPr>
    </w:p>
    <w:p w:rsidR="00426D32" w:rsidRDefault="003D4B91" w:rsidP="008308E2">
      <w:pPr>
        <w:spacing w:after="0"/>
        <w:ind w:right="-330"/>
        <w:rPr>
          <w:rFonts w:cs="Arial"/>
          <w:b/>
        </w:rPr>
      </w:pPr>
      <w:r>
        <w:rPr>
          <w:rFonts w:cs="Arial"/>
          <w:b/>
        </w:rPr>
        <w:t>5</w:t>
      </w:r>
      <w:r w:rsidR="00426D32">
        <w:rPr>
          <w:rFonts w:cs="Arial"/>
          <w:b/>
        </w:rPr>
        <w:t>.</w:t>
      </w:r>
      <w:r w:rsidR="00426D32">
        <w:rPr>
          <w:rFonts w:cs="Arial"/>
          <w:b/>
        </w:rPr>
        <w:tab/>
        <w:t>Conclusion</w:t>
      </w:r>
    </w:p>
    <w:p w:rsidR="00D23F0F" w:rsidRDefault="00D23F0F" w:rsidP="009232BC">
      <w:pPr>
        <w:pStyle w:val="PlainText"/>
        <w:rPr>
          <w:rFonts w:ascii="Arial" w:hAnsi="Arial" w:cs="Arial"/>
          <w:sz w:val="24"/>
          <w:szCs w:val="24"/>
        </w:rPr>
      </w:pPr>
    </w:p>
    <w:p w:rsidR="00365603" w:rsidRDefault="00426D32" w:rsidP="00D23F0F">
      <w:pPr>
        <w:pStyle w:val="PlainText"/>
        <w:rPr>
          <w:rFonts w:ascii="Arial" w:hAnsi="Arial" w:cs="Arial"/>
          <w:sz w:val="24"/>
          <w:szCs w:val="24"/>
        </w:rPr>
      </w:pPr>
      <w:r w:rsidRPr="00426D32">
        <w:rPr>
          <w:rFonts w:ascii="Arial" w:hAnsi="Arial" w:cs="Arial"/>
          <w:sz w:val="24"/>
          <w:szCs w:val="24"/>
        </w:rPr>
        <w:t>This position clearly indicates t</w:t>
      </w:r>
      <w:r>
        <w:rPr>
          <w:rFonts w:ascii="Arial" w:hAnsi="Arial" w:cs="Arial"/>
          <w:sz w:val="24"/>
          <w:szCs w:val="24"/>
        </w:rPr>
        <w:t>hat the reserve position for Lancashire County Council</w:t>
      </w:r>
      <w:r w:rsidR="001859CA">
        <w:rPr>
          <w:rFonts w:ascii="Arial" w:hAnsi="Arial" w:cs="Arial"/>
          <w:sz w:val="24"/>
          <w:szCs w:val="24"/>
        </w:rPr>
        <w:t xml:space="preserve"> is forecast to reduce significantly and as Section 151 Officer I will advise on the appropriate statutory levels required by 31</w:t>
      </w:r>
      <w:r w:rsidR="001859CA" w:rsidRPr="001859CA">
        <w:rPr>
          <w:rFonts w:ascii="Arial" w:hAnsi="Arial" w:cs="Arial"/>
          <w:sz w:val="24"/>
          <w:szCs w:val="24"/>
          <w:vertAlign w:val="superscript"/>
        </w:rPr>
        <w:t>st</w:t>
      </w:r>
      <w:r w:rsidR="001859CA">
        <w:rPr>
          <w:rFonts w:ascii="Arial" w:hAnsi="Arial" w:cs="Arial"/>
          <w:sz w:val="24"/>
          <w:szCs w:val="24"/>
        </w:rPr>
        <w:t xml:space="preserve"> March 2018.</w:t>
      </w:r>
    </w:p>
    <w:p w:rsidR="00224312" w:rsidRDefault="00224312" w:rsidP="00D23F0F">
      <w:pPr>
        <w:pStyle w:val="PlainText"/>
        <w:rPr>
          <w:rFonts w:ascii="Arial" w:hAnsi="Arial" w:cs="Arial"/>
          <w:sz w:val="24"/>
          <w:szCs w:val="24"/>
        </w:rPr>
      </w:pPr>
    </w:p>
    <w:p w:rsidR="00224312" w:rsidRPr="00D23F0F" w:rsidRDefault="00224312" w:rsidP="00D23F0F">
      <w:pPr>
        <w:pStyle w:val="PlainText"/>
        <w:rPr>
          <w:rFonts w:ascii="Arial" w:hAnsi="Arial" w:cs="Arial"/>
          <w:sz w:val="24"/>
          <w:szCs w:val="24"/>
        </w:rPr>
      </w:pPr>
    </w:p>
    <w:p w:rsidR="00365603" w:rsidRDefault="00365603" w:rsidP="008308E2">
      <w:pPr>
        <w:spacing w:after="0"/>
        <w:ind w:right="-330"/>
        <w:rPr>
          <w:rFonts w:eastAsia="Arial Unicode MS" w:cs="Arial"/>
          <w:b/>
          <w:sz w:val="28"/>
          <w:szCs w:val="28"/>
          <w:u w:color="000000"/>
          <w:lang w:eastAsia="en-GB"/>
        </w:rPr>
        <w:sectPr w:rsidR="00365603" w:rsidSect="00365603"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81DFC" w:rsidRDefault="00365603" w:rsidP="00365603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</w:pPr>
      <w:r>
        <w:rPr>
          <w:rFonts w:eastAsia="Arial Unicode MS" w:cs="Arial"/>
          <w:b/>
          <w:u w:color="000000"/>
          <w:lang w:eastAsia="en-GB"/>
        </w:rPr>
        <w:lastRenderedPageBreak/>
        <w:t>Annex A – Strategic Investment Reserve</w:t>
      </w:r>
    </w:p>
    <w:p w:rsidR="00AF6FC3" w:rsidRDefault="00AF6FC3" w:rsidP="00365603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</w:pPr>
    </w:p>
    <w:p w:rsidR="00AF6FC3" w:rsidRPr="00365603" w:rsidRDefault="00AF6FC3" w:rsidP="00365603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</w:pPr>
    </w:p>
    <w:p w:rsidR="00365603" w:rsidRDefault="000448A4" w:rsidP="008308E2">
      <w:pPr>
        <w:spacing w:after="0"/>
        <w:ind w:right="-330"/>
        <w:rPr>
          <w:rFonts w:eastAsia="Arial Unicode MS" w:cs="Arial"/>
          <w:b/>
          <w:u w:color="000000"/>
          <w:lang w:eastAsia="en-GB"/>
        </w:rPr>
      </w:pPr>
      <w:r w:rsidRPr="00F5186F">
        <w:rPr>
          <w:noProof/>
          <w:lang w:eastAsia="en-GB"/>
        </w:rPr>
        <w:drawing>
          <wp:inline distT="0" distB="0" distL="0" distR="0" wp14:anchorId="162F0DBB" wp14:editId="262E7183">
            <wp:extent cx="8863330" cy="423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03" w:rsidRDefault="00365603">
      <w:pPr>
        <w:autoSpaceDE/>
        <w:autoSpaceDN/>
        <w:adjustRightInd/>
        <w:spacing w:after="0"/>
        <w:jc w:val="left"/>
        <w:rPr>
          <w:rFonts w:eastAsia="Arial Unicode MS" w:cs="Arial"/>
          <w:b/>
          <w:u w:color="000000"/>
          <w:lang w:eastAsia="en-GB"/>
        </w:rPr>
      </w:pPr>
      <w:r>
        <w:rPr>
          <w:rFonts w:eastAsia="Arial Unicode MS" w:cs="Arial"/>
          <w:b/>
          <w:u w:color="000000"/>
          <w:lang w:eastAsia="en-GB"/>
        </w:rPr>
        <w:br w:type="page"/>
      </w:r>
    </w:p>
    <w:p w:rsidR="00EF5462" w:rsidRDefault="00365603" w:rsidP="00031CD4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</w:pPr>
      <w:r>
        <w:rPr>
          <w:rFonts w:eastAsia="Arial Unicode MS" w:cs="Arial"/>
          <w:b/>
          <w:u w:color="000000"/>
          <w:lang w:eastAsia="en-GB"/>
        </w:rPr>
        <w:lastRenderedPageBreak/>
        <w:t>Annex B – Downsizing and Risk Management Reserve</w:t>
      </w:r>
    </w:p>
    <w:p w:rsidR="00AF6FC3" w:rsidRPr="00031CD4" w:rsidRDefault="00AF6FC3" w:rsidP="00031CD4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</w:pPr>
    </w:p>
    <w:p w:rsidR="00A53AE1" w:rsidRPr="00031CD4" w:rsidRDefault="00944150" w:rsidP="008308E2">
      <w:pPr>
        <w:spacing w:after="0"/>
        <w:ind w:right="-330"/>
        <w:rPr>
          <w:noProof/>
          <w:lang w:eastAsia="en-GB"/>
        </w:rPr>
      </w:pPr>
      <w:r w:rsidRPr="00944150">
        <w:rPr>
          <w:noProof/>
          <w:lang w:eastAsia="en-GB"/>
        </w:rPr>
        <w:drawing>
          <wp:inline distT="0" distB="0" distL="0" distR="0">
            <wp:extent cx="8863330" cy="57598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03" w:rsidRDefault="00365603" w:rsidP="008308E2">
      <w:pPr>
        <w:spacing w:after="0"/>
        <w:ind w:right="-330"/>
        <w:rPr>
          <w:rFonts w:eastAsia="Arial Unicode MS" w:cs="Arial"/>
          <w:b/>
          <w:u w:color="000000"/>
          <w:lang w:eastAsia="en-GB"/>
        </w:rPr>
        <w:sectPr w:rsidR="00365603" w:rsidSect="002A73B9">
          <w:pgSz w:w="16838" w:h="11906" w:orient="landscape"/>
          <w:pgMar w:top="624" w:right="1440" w:bottom="624" w:left="1440" w:header="709" w:footer="709" w:gutter="0"/>
          <w:cols w:space="708"/>
          <w:docGrid w:linePitch="360"/>
        </w:sectPr>
      </w:pPr>
    </w:p>
    <w:p w:rsidR="00365603" w:rsidRDefault="00365603" w:rsidP="00365603">
      <w:pPr>
        <w:spacing w:after="0"/>
        <w:ind w:right="933"/>
        <w:jc w:val="right"/>
        <w:rPr>
          <w:rFonts w:eastAsia="Arial Unicode MS" w:cs="Arial"/>
          <w:b/>
          <w:u w:color="000000"/>
          <w:lang w:eastAsia="en-GB"/>
        </w:rPr>
      </w:pPr>
      <w:r>
        <w:rPr>
          <w:rFonts w:eastAsia="Arial Unicode MS" w:cs="Arial"/>
          <w:b/>
          <w:u w:color="000000"/>
          <w:lang w:eastAsia="en-GB"/>
        </w:rPr>
        <w:lastRenderedPageBreak/>
        <w:t>Annex C – Service Reserves</w:t>
      </w:r>
    </w:p>
    <w:p w:rsidR="00365603" w:rsidRDefault="00365603" w:rsidP="008308E2">
      <w:pPr>
        <w:spacing w:after="0"/>
        <w:ind w:right="-330"/>
        <w:rPr>
          <w:rFonts w:eastAsia="Arial Unicode MS" w:cs="Arial"/>
          <w:b/>
          <w:u w:color="000000"/>
          <w:lang w:eastAsia="en-GB"/>
        </w:rPr>
      </w:pPr>
    </w:p>
    <w:p w:rsidR="00365603" w:rsidRDefault="0097747C" w:rsidP="008308E2">
      <w:pPr>
        <w:spacing w:after="0"/>
        <w:ind w:right="-330"/>
        <w:rPr>
          <w:rFonts w:eastAsia="Arial Unicode MS" w:cs="Arial"/>
          <w:b/>
          <w:u w:color="000000"/>
          <w:lang w:eastAsia="en-GB"/>
        </w:rPr>
      </w:pPr>
      <w:r w:rsidRPr="00A82C49">
        <w:rPr>
          <w:noProof/>
          <w:lang w:eastAsia="en-GB"/>
        </w:rPr>
        <w:drawing>
          <wp:inline distT="0" distB="0" distL="0" distR="0" wp14:anchorId="55B1C625" wp14:editId="200B675D">
            <wp:extent cx="5731510" cy="758913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03" w:rsidRPr="00365603" w:rsidRDefault="00365603" w:rsidP="008308E2">
      <w:pPr>
        <w:spacing w:after="0"/>
        <w:ind w:right="-330"/>
        <w:rPr>
          <w:rFonts w:eastAsia="Arial Unicode MS" w:cs="Arial"/>
          <w:b/>
          <w:u w:color="000000"/>
          <w:lang w:eastAsia="en-GB"/>
        </w:rPr>
      </w:pPr>
    </w:p>
    <w:sectPr w:rsidR="00365603" w:rsidRPr="00365603" w:rsidSect="00365603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14" w:rsidRDefault="00410414" w:rsidP="00124FDC">
      <w:pPr>
        <w:spacing w:after="0"/>
      </w:pPr>
      <w:r>
        <w:separator/>
      </w:r>
    </w:p>
  </w:endnote>
  <w:endnote w:type="continuationSeparator" w:id="0">
    <w:p w:rsidR="00410414" w:rsidRDefault="00410414" w:rsidP="00124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622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2BC" w:rsidRDefault="004532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F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32BC" w:rsidRDefault="00453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14" w:rsidRDefault="00410414" w:rsidP="00124FDC">
      <w:pPr>
        <w:spacing w:after="0"/>
      </w:pPr>
      <w:r>
        <w:separator/>
      </w:r>
    </w:p>
  </w:footnote>
  <w:footnote w:type="continuationSeparator" w:id="0">
    <w:p w:rsidR="00410414" w:rsidRDefault="00410414" w:rsidP="00124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41" w:rsidRDefault="00291D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59F51CD" wp14:editId="0C11ECF5">
          <wp:simplePos x="0" y="0"/>
          <wp:positionH relativeFrom="column">
            <wp:posOffset>-915035</wp:posOffset>
          </wp:positionH>
          <wp:positionV relativeFrom="paragraph">
            <wp:posOffset>-189230</wp:posOffset>
          </wp:positionV>
          <wp:extent cx="7548880" cy="6653530"/>
          <wp:effectExtent l="19050" t="0" r="0" b="0"/>
          <wp:wrapNone/>
          <wp:docPr id="18" name="Picture 18" descr="In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752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665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41" w:rsidRDefault="008308E2" w:rsidP="00846A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BC316C" wp14:editId="74837317">
          <wp:simplePos x="0" y="0"/>
          <wp:positionH relativeFrom="page">
            <wp:posOffset>-12065</wp:posOffset>
          </wp:positionH>
          <wp:positionV relativeFrom="paragraph">
            <wp:posOffset>-450850</wp:posOffset>
          </wp:positionV>
          <wp:extent cx="7568565" cy="10720070"/>
          <wp:effectExtent l="0" t="0" r="0" b="5080"/>
          <wp:wrapNone/>
          <wp:docPr id="19" name="Picture 0" descr="Word Cover_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rd Cover_Repo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2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ADE271" wp14:editId="22BFB382">
              <wp:simplePos x="0" y="0"/>
              <wp:positionH relativeFrom="column">
                <wp:posOffset>5384165</wp:posOffset>
              </wp:positionH>
              <wp:positionV relativeFrom="paragraph">
                <wp:posOffset>-173990</wp:posOffset>
              </wp:positionV>
              <wp:extent cx="1092835" cy="1404620"/>
              <wp:effectExtent l="0" t="0" r="12065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8E2" w:rsidRPr="000C5639" w:rsidRDefault="008308E2" w:rsidP="008308E2">
                          <w:pPr>
                            <w:rPr>
                              <w:b/>
                            </w:rPr>
                          </w:pPr>
                          <w:r w:rsidRPr="000C5639">
                            <w:rPr>
                              <w:b/>
                            </w:rPr>
                            <w:t xml:space="preserve">Appendix </w:t>
                          </w: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DE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3.95pt;margin-top:-13.7pt;width:86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">
              <v:textbox style="mso-fit-shape-to-text:t">
                <w:txbxContent>
                  <w:p w:rsidR="008308E2" w:rsidRPr="000C5639" w:rsidRDefault="008308E2" w:rsidP="008308E2">
                    <w:pPr>
                      <w:rPr>
                        <w:b/>
                      </w:rPr>
                    </w:pPr>
                    <w:r w:rsidRPr="000C5639">
                      <w:rPr>
                        <w:b/>
                      </w:rPr>
                      <w:t xml:space="preserve">Appendix </w:t>
                    </w: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0834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256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7040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CEC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166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6A46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E6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36E9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092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5ED3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decimal"/>
      <w:pStyle w:val="ImportWordListStyleDefinition30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cs="Times New Roman"/>
        <w:position w:val="0"/>
      </w:rPr>
    </w:lvl>
  </w:abstractNum>
  <w:abstractNum w:abstractNumId="1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2">
    <w:nsid w:val="00000005"/>
    <w:multiLevelType w:val="multilevel"/>
    <w:tmpl w:val="894EE877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774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3">
    <w:nsid w:val="00000006"/>
    <w:multiLevelType w:val="multilevel"/>
    <w:tmpl w:val="894EE878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5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4">
    <w:nsid w:val="00000008"/>
    <w:multiLevelType w:val="multilevel"/>
    <w:tmpl w:val="894EE87A"/>
    <w:lvl w:ilvl="0">
      <w:start w:val="1"/>
      <w:numFmt w:val="bullet"/>
      <w:pStyle w:val="List1"/>
      <w:lvlText w:val="•"/>
      <w:lvlJc w:val="left"/>
      <w:pPr>
        <w:tabs>
          <w:tab w:val="num" w:pos="153"/>
        </w:tabs>
        <w:ind w:left="153" w:firstLine="567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position w:val="0"/>
      </w:rPr>
    </w:lvl>
  </w:abstractNum>
  <w:abstractNum w:abstractNumId="15">
    <w:nsid w:val="0000001E"/>
    <w:multiLevelType w:val="multilevel"/>
    <w:tmpl w:val="894EE890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6">
    <w:nsid w:val="00000020"/>
    <w:multiLevelType w:val="multilevel"/>
    <w:tmpl w:val="894EE892"/>
    <w:lvl w:ilvl="0">
      <w:start w:val="1"/>
      <w:numFmt w:val="bullet"/>
      <w:pStyle w:val="ImportWordListStyleDefinition25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7">
    <w:nsid w:val="00000022"/>
    <w:multiLevelType w:val="multilevel"/>
    <w:tmpl w:val="894EE894"/>
    <w:lvl w:ilvl="0">
      <w:start w:val="1"/>
      <w:numFmt w:val="bullet"/>
      <w:pStyle w:val="List21"/>
      <w:lvlText w:val="•"/>
      <w:lvlJc w:val="left"/>
      <w:pPr>
        <w:tabs>
          <w:tab w:val="num" w:pos="426"/>
        </w:tabs>
        <w:ind w:left="426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20">
    <w:nsid w:val="06FD41C2"/>
    <w:multiLevelType w:val="hybridMultilevel"/>
    <w:tmpl w:val="C072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6A0AD0"/>
    <w:multiLevelType w:val="hybridMultilevel"/>
    <w:tmpl w:val="6130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72947"/>
    <w:multiLevelType w:val="hybridMultilevel"/>
    <w:tmpl w:val="7828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E378D"/>
    <w:multiLevelType w:val="hybridMultilevel"/>
    <w:tmpl w:val="669255CA"/>
    <w:lvl w:ilvl="0" w:tplc="D8D6435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38D455ED"/>
    <w:multiLevelType w:val="hybridMultilevel"/>
    <w:tmpl w:val="64EE7634"/>
    <w:lvl w:ilvl="0" w:tplc="B2CE2D04"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860A3"/>
    <w:multiLevelType w:val="hybridMultilevel"/>
    <w:tmpl w:val="2DF6A548"/>
    <w:lvl w:ilvl="0" w:tplc="63A0556C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3D0E88"/>
    <w:multiLevelType w:val="hybridMultilevel"/>
    <w:tmpl w:val="6B088218"/>
    <w:lvl w:ilvl="0" w:tplc="F230B1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F550E"/>
    <w:multiLevelType w:val="hybridMultilevel"/>
    <w:tmpl w:val="0D42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759CD"/>
    <w:multiLevelType w:val="hybridMultilevel"/>
    <w:tmpl w:val="6FF22088"/>
    <w:lvl w:ilvl="0" w:tplc="7A102F2C">
      <w:start w:val="1"/>
      <w:numFmt w:val="decimal"/>
      <w:pStyle w:val="Heading4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87F59"/>
    <w:multiLevelType w:val="hybridMultilevel"/>
    <w:tmpl w:val="A43A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E05E5"/>
    <w:multiLevelType w:val="hybridMultilevel"/>
    <w:tmpl w:val="C01C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C6B77"/>
    <w:multiLevelType w:val="hybridMultilevel"/>
    <w:tmpl w:val="808278F0"/>
    <w:lvl w:ilvl="0" w:tplc="22407B3A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AB07B0"/>
    <w:multiLevelType w:val="hybridMultilevel"/>
    <w:tmpl w:val="F262516C"/>
    <w:lvl w:ilvl="0" w:tplc="DA2459FE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2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20"/>
  </w:num>
  <w:num w:numId="27">
    <w:abstractNumId w:val="27"/>
  </w:num>
  <w:num w:numId="28">
    <w:abstractNumId w:val="29"/>
  </w:num>
  <w:num w:numId="29">
    <w:abstractNumId w:val="22"/>
  </w:num>
  <w:num w:numId="30">
    <w:abstractNumId w:val="30"/>
  </w:num>
  <w:num w:numId="31">
    <w:abstractNumId w:val="32"/>
  </w:num>
  <w:num w:numId="32">
    <w:abstractNumId w:val="26"/>
  </w:num>
  <w:num w:numId="3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d31145,#fffddf,#ffec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64"/>
    <w:rsid w:val="0000008E"/>
    <w:rsid w:val="00000CB1"/>
    <w:rsid w:val="00002B14"/>
    <w:rsid w:val="0000388E"/>
    <w:rsid w:val="00005501"/>
    <w:rsid w:val="0001341B"/>
    <w:rsid w:val="0002009B"/>
    <w:rsid w:val="000205B8"/>
    <w:rsid w:val="000211C6"/>
    <w:rsid w:val="0002209D"/>
    <w:rsid w:val="00025819"/>
    <w:rsid w:val="00031CD4"/>
    <w:rsid w:val="000448A4"/>
    <w:rsid w:val="00044FF2"/>
    <w:rsid w:val="0004609F"/>
    <w:rsid w:val="00054C03"/>
    <w:rsid w:val="00057B51"/>
    <w:rsid w:val="000701AB"/>
    <w:rsid w:val="0007606B"/>
    <w:rsid w:val="00081E12"/>
    <w:rsid w:val="00083512"/>
    <w:rsid w:val="0008360D"/>
    <w:rsid w:val="00085091"/>
    <w:rsid w:val="00092756"/>
    <w:rsid w:val="0009438D"/>
    <w:rsid w:val="000A1E1B"/>
    <w:rsid w:val="000A3809"/>
    <w:rsid w:val="000A3BD2"/>
    <w:rsid w:val="000A778B"/>
    <w:rsid w:val="000B11F8"/>
    <w:rsid w:val="000B29E0"/>
    <w:rsid w:val="000B6F0F"/>
    <w:rsid w:val="000C35EE"/>
    <w:rsid w:val="000C58C2"/>
    <w:rsid w:val="000D15C8"/>
    <w:rsid w:val="000D1F39"/>
    <w:rsid w:val="000D3601"/>
    <w:rsid w:val="000D4BF2"/>
    <w:rsid w:val="000E00B0"/>
    <w:rsid w:val="000E02B4"/>
    <w:rsid w:val="000E4831"/>
    <w:rsid w:val="000F12AA"/>
    <w:rsid w:val="000F2763"/>
    <w:rsid w:val="000F2931"/>
    <w:rsid w:val="000F5D50"/>
    <w:rsid w:val="000F748D"/>
    <w:rsid w:val="001001D6"/>
    <w:rsid w:val="001033DA"/>
    <w:rsid w:val="00112B05"/>
    <w:rsid w:val="00112D46"/>
    <w:rsid w:val="00122701"/>
    <w:rsid w:val="001230E2"/>
    <w:rsid w:val="00124613"/>
    <w:rsid w:val="001248E1"/>
    <w:rsid w:val="00124FDC"/>
    <w:rsid w:val="0013075A"/>
    <w:rsid w:val="001314AB"/>
    <w:rsid w:val="001318F2"/>
    <w:rsid w:val="00142E26"/>
    <w:rsid w:val="00145C7C"/>
    <w:rsid w:val="00147C02"/>
    <w:rsid w:val="00147CFE"/>
    <w:rsid w:val="0015063B"/>
    <w:rsid w:val="00151735"/>
    <w:rsid w:val="00153BDE"/>
    <w:rsid w:val="00154FFB"/>
    <w:rsid w:val="001562D2"/>
    <w:rsid w:val="00157938"/>
    <w:rsid w:val="0016157E"/>
    <w:rsid w:val="00165163"/>
    <w:rsid w:val="00173663"/>
    <w:rsid w:val="00174280"/>
    <w:rsid w:val="00175707"/>
    <w:rsid w:val="001760F2"/>
    <w:rsid w:val="0017632B"/>
    <w:rsid w:val="00176F2E"/>
    <w:rsid w:val="00185694"/>
    <w:rsid w:val="001859CA"/>
    <w:rsid w:val="001873E0"/>
    <w:rsid w:val="001A134C"/>
    <w:rsid w:val="001A5E75"/>
    <w:rsid w:val="001B540F"/>
    <w:rsid w:val="001B5633"/>
    <w:rsid w:val="001C1BD1"/>
    <w:rsid w:val="001C1C6F"/>
    <w:rsid w:val="001D163E"/>
    <w:rsid w:val="001D24BD"/>
    <w:rsid w:val="001D39F6"/>
    <w:rsid w:val="001D6C4E"/>
    <w:rsid w:val="001E22B3"/>
    <w:rsid w:val="001E3125"/>
    <w:rsid w:val="001E417F"/>
    <w:rsid w:val="001E6005"/>
    <w:rsid w:val="001E7EF0"/>
    <w:rsid w:val="001F0AA6"/>
    <w:rsid w:val="00210D52"/>
    <w:rsid w:val="0021392C"/>
    <w:rsid w:val="00214801"/>
    <w:rsid w:val="00222D1E"/>
    <w:rsid w:val="0022383E"/>
    <w:rsid w:val="00224312"/>
    <w:rsid w:val="002267A3"/>
    <w:rsid w:val="00227E9E"/>
    <w:rsid w:val="0023427F"/>
    <w:rsid w:val="002345FB"/>
    <w:rsid w:val="00247D4E"/>
    <w:rsid w:val="002533B1"/>
    <w:rsid w:val="00257164"/>
    <w:rsid w:val="002578B8"/>
    <w:rsid w:val="00263DFF"/>
    <w:rsid w:val="0026678D"/>
    <w:rsid w:val="00267A41"/>
    <w:rsid w:val="00267E3B"/>
    <w:rsid w:val="00267F8F"/>
    <w:rsid w:val="00275B89"/>
    <w:rsid w:val="00281DD8"/>
    <w:rsid w:val="002822BA"/>
    <w:rsid w:val="00283C71"/>
    <w:rsid w:val="00290320"/>
    <w:rsid w:val="00290F56"/>
    <w:rsid w:val="002918E8"/>
    <w:rsid w:val="00291D41"/>
    <w:rsid w:val="00297702"/>
    <w:rsid w:val="002A0203"/>
    <w:rsid w:val="002A18D1"/>
    <w:rsid w:val="002A1E91"/>
    <w:rsid w:val="002A2C0D"/>
    <w:rsid w:val="002A3292"/>
    <w:rsid w:val="002A351D"/>
    <w:rsid w:val="002A6DE2"/>
    <w:rsid w:val="002A73B9"/>
    <w:rsid w:val="002B35AA"/>
    <w:rsid w:val="002B6FC4"/>
    <w:rsid w:val="002C4196"/>
    <w:rsid w:val="002D5781"/>
    <w:rsid w:val="002D637D"/>
    <w:rsid w:val="002D71FE"/>
    <w:rsid w:val="002D7921"/>
    <w:rsid w:val="002E0CED"/>
    <w:rsid w:val="002E5340"/>
    <w:rsid w:val="002E5C88"/>
    <w:rsid w:val="002F3210"/>
    <w:rsid w:val="002F364A"/>
    <w:rsid w:val="002F4AF1"/>
    <w:rsid w:val="002F60DB"/>
    <w:rsid w:val="003006E7"/>
    <w:rsid w:val="003059E8"/>
    <w:rsid w:val="00313657"/>
    <w:rsid w:val="00321030"/>
    <w:rsid w:val="003218D4"/>
    <w:rsid w:val="003219F2"/>
    <w:rsid w:val="0032276D"/>
    <w:rsid w:val="0032298A"/>
    <w:rsid w:val="00325446"/>
    <w:rsid w:val="00325CF6"/>
    <w:rsid w:val="00326867"/>
    <w:rsid w:val="00327570"/>
    <w:rsid w:val="003321F2"/>
    <w:rsid w:val="003348C9"/>
    <w:rsid w:val="003350AF"/>
    <w:rsid w:val="00340774"/>
    <w:rsid w:val="003416CE"/>
    <w:rsid w:val="00350F56"/>
    <w:rsid w:val="00352C6F"/>
    <w:rsid w:val="003626CB"/>
    <w:rsid w:val="00363A3A"/>
    <w:rsid w:val="00364241"/>
    <w:rsid w:val="00365603"/>
    <w:rsid w:val="00365825"/>
    <w:rsid w:val="0036630C"/>
    <w:rsid w:val="00366317"/>
    <w:rsid w:val="0037393E"/>
    <w:rsid w:val="00386B6C"/>
    <w:rsid w:val="003875B6"/>
    <w:rsid w:val="0039333E"/>
    <w:rsid w:val="00394975"/>
    <w:rsid w:val="00394BBA"/>
    <w:rsid w:val="0039786E"/>
    <w:rsid w:val="003A55F8"/>
    <w:rsid w:val="003A7DCB"/>
    <w:rsid w:val="003B0C73"/>
    <w:rsid w:val="003B38A7"/>
    <w:rsid w:val="003B6681"/>
    <w:rsid w:val="003B77BD"/>
    <w:rsid w:val="003C5D0D"/>
    <w:rsid w:val="003C795B"/>
    <w:rsid w:val="003D1166"/>
    <w:rsid w:val="003D2899"/>
    <w:rsid w:val="003D4B91"/>
    <w:rsid w:val="003E1CEE"/>
    <w:rsid w:val="003E3D87"/>
    <w:rsid w:val="003E4C50"/>
    <w:rsid w:val="003E4EB1"/>
    <w:rsid w:val="003E743D"/>
    <w:rsid w:val="003F0E62"/>
    <w:rsid w:val="003F55B6"/>
    <w:rsid w:val="00405273"/>
    <w:rsid w:val="00405959"/>
    <w:rsid w:val="00410414"/>
    <w:rsid w:val="00421596"/>
    <w:rsid w:val="00424E57"/>
    <w:rsid w:val="0042503D"/>
    <w:rsid w:val="00426D32"/>
    <w:rsid w:val="00442270"/>
    <w:rsid w:val="00443CD3"/>
    <w:rsid w:val="00447F80"/>
    <w:rsid w:val="00451501"/>
    <w:rsid w:val="00451CE6"/>
    <w:rsid w:val="004532BC"/>
    <w:rsid w:val="004533FD"/>
    <w:rsid w:val="00460B9A"/>
    <w:rsid w:val="004671DA"/>
    <w:rsid w:val="004672AC"/>
    <w:rsid w:val="0046768B"/>
    <w:rsid w:val="00472A0F"/>
    <w:rsid w:val="00487350"/>
    <w:rsid w:val="00490507"/>
    <w:rsid w:val="00495B01"/>
    <w:rsid w:val="004A07B6"/>
    <w:rsid w:val="004A4F18"/>
    <w:rsid w:val="004A6CE9"/>
    <w:rsid w:val="004B573E"/>
    <w:rsid w:val="004C22BB"/>
    <w:rsid w:val="004C2626"/>
    <w:rsid w:val="004C6D02"/>
    <w:rsid w:val="004D07A3"/>
    <w:rsid w:val="004D0F2F"/>
    <w:rsid w:val="004E3926"/>
    <w:rsid w:val="004F243C"/>
    <w:rsid w:val="004F4F4A"/>
    <w:rsid w:val="004F589C"/>
    <w:rsid w:val="004F7221"/>
    <w:rsid w:val="004F793C"/>
    <w:rsid w:val="005001EC"/>
    <w:rsid w:val="005059F8"/>
    <w:rsid w:val="005107F5"/>
    <w:rsid w:val="00510A25"/>
    <w:rsid w:val="00511019"/>
    <w:rsid w:val="00511F5D"/>
    <w:rsid w:val="00516099"/>
    <w:rsid w:val="0051670A"/>
    <w:rsid w:val="00516FCA"/>
    <w:rsid w:val="00520EBD"/>
    <w:rsid w:val="00522CA2"/>
    <w:rsid w:val="00531F2A"/>
    <w:rsid w:val="005331E8"/>
    <w:rsid w:val="00533982"/>
    <w:rsid w:val="00534553"/>
    <w:rsid w:val="00535451"/>
    <w:rsid w:val="005360E5"/>
    <w:rsid w:val="0054261B"/>
    <w:rsid w:val="0054272A"/>
    <w:rsid w:val="0054686B"/>
    <w:rsid w:val="00552F96"/>
    <w:rsid w:val="00553EFD"/>
    <w:rsid w:val="00554019"/>
    <w:rsid w:val="005602EE"/>
    <w:rsid w:val="00561177"/>
    <w:rsid w:val="00562427"/>
    <w:rsid w:val="00565DF7"/>
    <w:rsid w:val="00566CCD"/>
    <w:rsid w:val="005672F2"/>
    <w:rsid w:val="005703D9"/>
    <w:rsid w:val="005734D4"/>
    <w:rsid w:val="005802F2"/>
    <w:rsid w:val="00580887"/>
    <w:rsid w:val="005837F4"/>
    <w:rsid w:val="00591F1A"/>
    <w:rsid w:val="00594064"/>
    <w:rsid w:val="00594228"/>
    <w:rsid w:val="005A3514"/>
    <w:rsid w:val="005A4493"/>
    <w:rsid w:val="005A536F"/>
    <w:rsid w:val="005A6BE8"/>
    <w:rsid w:val="005B458D"/>
    <w:rsid w:val="005B483D"/>
    <w:rsid w:val="005C14AC"/>
    <w:rsid w:val="005C2638"/>
    <w:rsid w:val="005C38AB"/>
    <w:rsid w:val="005C5693"/>
    <w:rsid w:val="005D7DDA"/>
    <w:rsid w:val="005E3610"/>
    <w:rsid w:val="005E6D70"/>
    <w:rsid w:val="005F0A9A"/>
    <w:rsid w:val="00602D56"/>
    <w:rsid w:val="00606AFF"/>
    <w:rsid w:val="006109CF"/>
    <w:rsid w:val="0061106D"/>
    <w:rsid w:val="00611480"/>
    <w:rsid w:val="006208E7"/>
    <w:rsid w:val="0062134E"/>
    <w:rsid w:val="006226CB"/>
    <w:rsid w:val="00631B3A"/>
    <w:rsid w:val="0063358D"/>
    <w:rsid w:val="006377F0"/>
    <w:rsid w:val="00637DDF"/>
    <w:rsid w:val="00641054"/>
    <w:rsid w:val="00642CD8"/>
    <w:rsid w:val="00650336"/>
    <w:rsid w:val="00654564"/>
    <w:rsid w:val="006549D3"/>
    <w:rsid w:val="00656055"/>
    <w:rsid w:val="00656D23"/>
    <w:rsid w:val="006573DF"/>
    <w:rsid w:val="00657E34"/>
    <w:rsid w:val="00663E2A"/>
    <w:rsid w:val="00667914"/>
    <w:rsid w:val="00671323"/>
    <w:rsid w:val="00675165"/>
    <w:rsid w:val="00675B77"/>
    <w:rsid w:val="006803D3"/>
    <w:rsid w:val="00684B24"/>
    <w:rsid w:val="006A3CC4"/>
    <w:rsid w:val="006A4027"/>
    <w:rsid w:val="006A567C"/>
    <w:rsid w:val="006A7810"/>
    <w:rsid w:val="006B1F53"/>
    <w:rsid w:val="006C210D"/>
    <w:rsid w:val="006C4F7E"/>
    <w:rsid w:val="006C7B81"/>
    <w:rsid w:val="006D5E1C"/>
    <w:rsid w:val="006D7BB1"/>
    <w:rsid w:val="006E1B23"/>
    <w:rsid w:val="006E286D"/>
    <w:rsid w:val="006E349B"/>
    <w:rsid w:val="006F4002"/>
    <w:rsid w:val="00710F67"/>
    <w:rsid w:val="00716937"/>
    <w:rsid w:val="00717052"/>
    <w:rsid w:val="007234A8"/>
    <w:rsid w:val="00724DE9"/>
    <w:rsid w:val="00730B2B"/>
    <w:rsid w:val="00736579"/>
    <w:rsid w:val="007367F4"/>
    <w:rsid w:val="00737491"/>
    <w:rsid w:val="007423F7"/>
    <w:rsid w:val="00744ED3"/>
    <w:rsid w:val="00745B0F"/>
    <w:rsid w:val="007468E3"/>
    <w:rsid w:val="00753FFD"/>
    <w:rsid w:val="00760CD7"/>
    <w:rsid w:val="0076207A"/>
    <w:rsid w:val="00770A24"/>
    <w:rsid w:val="00770CBB"/>
    <w:rsid w:val="007712F3"/>
    <w:rsid w:val="00772764"/>
    <w:rsid w:val="0077327C"/>
    <w:rsid w:val="0077399D"/>
    <w:rsid w:val="00782BD5"/>
    <w:rsid w:val="00784105"/>
    <w:rsid w:val="00784BFA"/>
    <w:rsid w:val="00785E83"/>
    <w:rsid w:val="007871E4"/>
    <w:rsid w:val="00795732"/>
    <w:rsid w:val="00797100"/>
    <w:rsid w:val="007A3EA8"/>
    <w:rsid w:val="007A5DF9"/>
    <w:rsid w:val="007A7D0A"/>
    <w:rsid w:val="007A7DEC"/>
    <w:rsid w:val="007B5C1B"/>
    <w:rsid w:val="007B6838"/>
    <w:rsid w:val="007C126F"/>
    <w:rsid w:val="007C2D50"/>
    <w:rsid w:val="007C580E"/>
    <w:rsid w:val="007E1CBA"/>
    <w:rsid w:val="007E1FED"/>
    <w:rsid w:val="007E221D"/>
    <w:rsid w:val="007E5502"/>
    <w:rsid w:val="007E6352"/>
    <w:rsid w:val="007E778D"/>
    <w:rsid w:val="007F0E6B"/>
    <w:rsid w:val="007F158D"/>
    <w:rsid w:val="007F4E7D"/>
    <w:rsid w:val="007F58E7"/>
    <w:rsid w:val="007F6AD0"/>
    <w:rsid w:val="00800270"/>
    <w:rsid w:val="00806CFD"/>
    <w:rsid w:val="00811B44"/>
    <w:rsid w:val="00813CEC"/>
    <w:rsid w:val="00816112"/>
    <w:rsid w:val="00817D25"/>
    <w:rsid w:val="0082179E"/>
    <w:rsid w:val="00821C3E"/>
    <w:rsid w:val="008308E2"/>
    <w:rsid w:val="008334E2"/>
    <w:rsid w:val="00835168"/>
    <w:rsid w:val="00835636"/>
    <w:rsid w:val="00841E4A"/>
    <w:rsid w:val="00843FA3"/>
    <w:rsid w:val="00846066"/>
    <w:rsid w:val="00846AEA"/>
    <w:rsid w:val="00846DAF"/>
    <w:rsid w:val="00850008"/>
    <w:rsid w:val="00853B6D"/>
    <w:rsid w:val="008544A3"/>
    <w:rsid w:val="008566C1"/>
    <w:rsid w:val="00857F53"/>
    <w:rsid w:val="00867701"/>
    <w:rsid w:val="008707EB"/>
    <w:rsid w:val="00874FCD"/>
    <w:rsid w:val="00876C85"/>
    <w:rsid w:val="0088444B"/>
    <w:rsid w:val="00886A5B"/>
    <w:rsid w:val="00887C6E"/>
    <w:rsid w:val="0089452B"/>
    <w:rsid w:val="008A1889"/>
    <w:rsid w:val="008A301D"/>
    <w:rsid w:val="008B105C"/>
    <w:rsid w:val="008B1FD7"/>
    <w:rsid w:val="008B4F66"/>
    <w:rsid w:val="008B63B8"/>
    <w:rsid w:val="008C21E6"/>
    <w:rsid w:val="008C31A8"/>
    <w:rsid w:val="008C335A"/>
    <w:rsid w:val="008C3748"/>
    <w:rsid w:val="008C4E81"/>
    <w:rsid w:val="008C65BD"/>
    <w:rsid w:val="008D4B18"/>
    <w:rsid w:val="008D4FF6"/>
    <w:rsid w:val="008D5152"/>
    <w:rsid w:val="008D6E36"/>
    <w:rsid w:val="008D6F3B"/>
    <w:rsid w:val="008E11C5"/>
    <w:rsid w:val="008E50BB"/>
    <w:rsid w:val="008E5502"/>
    <w:rsid w:val="008E697B"/>
    <w:rsid w:val="008F279B"/>
    <w:rsid w:val="008F44ED"/>
    <w:rsid w:val="008F6EFB"/>
    <w:rsid w:val="00900BA3"/>
    <w:rsid w:val="009028CB"/>
    <w:rsid w:val="00902AC0"/>
    <w:rsid w:val="00914EC4"/>
    <w:rsid w:val="00917036"/>
    <w:rsid w:val="00920F5E"/>
    <w:rsid w:val="009232BC"/>
    <w:rsid w:val="0092413A"/>
    <w:rsid w:val="009242B9"/>
    <w:rsid w:val="00926AF1"/>
    <w:rsid w:val="00932A59"/>
    <w:rsid w:val="00932C3B"/>
    <w:rsid w:val="009337DD"/>
    <w:rsid w:val="009343D3"/>
    <w:rsid w:val="009370DF"/>
    <w:rsid w:val="00937EE0"/>
    <w:rsid w:val="00942AF1"/>
    <w:rsid w:val="00942BC2"/>
    <w:rsid w:val="00944150"/>
    <w:rsid w:val="00944389"/>
    <w:rsid w:val="009459FC"/>
    <w:rsid w:val="00945A94"/>
    <w:rsid w:val="00947954"/>
    <w:rsid w:val="00954D99"/>
    <w:rsid w:val="009554C0"/>
    <w:rsid w:val="00961639"/>
    <w:rsid w:val="00962629"/>
    <w:rsid w:val="009632D9"/>
    <w:rsid w:val="0096401E"/>
    <w:rsid w:val="009652E6"/>
    <w:rsid w:val="009677B6"/>
    <w:rsid w:val="00971041"/>
    <w:rsid w:val="0097747C"/>
    <w:rsid w:val="00980C35"/>
    <w:rsid w:val="009837B1"/>
    <w:rsid w:val="00991C0D"/>
    <w:rsid w:val="00994E2D"/>
    <w:rsid w:val="00996E68"/>
    <w:rsid w:val="009974F8"/>
    <w:rsid w:val="009A0AA5"/>
    <w:rsid w:val="009A1BDA"/>
    <w:rsid w:val="009A45BC"/>
    <w:rsid w:val="009A49D9"/>
    <w:rsid w:val="009A75A9"/>
    <w:rsid w:val="009B36E3"/>
    <w:rsid w:val="009C0024"/>
    <w:rsid w:val="009C0A9F"/>
    <w:rsid w:val="009C1250"/>
    <w:rsid w:val="009C33F5"/>
    <w:rsid w:val="009C449A"/>
    <w:rsid w:val="009C4C42"/>
    <w:rsid w:val="009C760E"/>
    <w:rsid w:val="009D306C"/>
    <w:rsid w:val="009D4341"/>
    <w:rsid w:val="009D634A"/>
    <w:rsid w:val="009D6EAC"/>
    <w:rsid w:val="009E3DD1"/>
    <w:rsid w:val="009E6314"/>
    <w:rsid w:val="009E65C2"/>
    <w:rsid w:val="009E7327"/>
    <w:rsid w:val="009E7619"/>
    <w:rsid w:val="009F4CEB"/>
    <w:rsid w:val="009F6553"/>
    <w:rsid w:val="009F6B07"/>
    <w:rsid w:val="00A00174"/>
    <w:rsid w:val="00A01F63"/>
    <w:rsid w:val="00A0563B"/>
    <w:rsid w:val="00A07590"/>
    <w:rsid w:val="00A07B04"/>
    <w:rsid w:val="00A130FF"/>
    <w:rsid w:val="00A13281"/>
    <w:rsid w:val="00A14832"/>
    <w:rsid w:val="00A22567"/>
    <w:rsid w:val="00A25C37"/>
    <w:rsid w:val="00A26ED3"/>
    <w:rsid w:val="00A31B9F"/>
    <w:rsid w:val="00A32770"/>
    <w:rsid w:val="00A33695"/>
    <w:rsid w:val="00A33DBA"/>
    <w:rsid w:val="00A409DD"/>
    <w:rsid w:val="00A43A8C"/>
    <w:rsid w:val="00A50D4E"/>
    <w:rsid w:val="00A5127C"/>
    <w:rsid w:val="00A53AE1"/>
    <w:rsid w:val="00A54AD7"/>
    <w:rsid w:val="00A55927"/>
    <w:rsid w:val="00A63984"/>
    <w:rsid w:val="00A64CC1"/>
    <w:rsid w:val="00A67398"/>
    <w:rsid w:val="00A71B89"/>
    <w:rsid w:val="00A742E7"/>
    <w:rsid w:val="00A75E7D"/>
    <w:rsid w:val="00A76229"/>
    <w:rsid w:val="00A80EC4"/>
    <w:rsid w:val="00A814A4"/>
    <w:rsid w:val="00A8727C"/>
    <w:rsid w:val="00A87D18"/>
    <w:rsid w:val="00A90C2E"/>
    <w:rsid w:val="00A913E7"/>
    <w:rsid w:val="00A9462E"/>
    <w:rsid w:val="00AA0728"/>
    <w:rsid w:val="00AA3323"/>
    <w:rsid w:val="00AA76AE"/>
    <w:rsid w:val="00AB0570"/>
    <w:rsid w:val="00AB4059"/>
    <w:rsid w:val="00AB4388"/>
    <w:rsid w:val="00AB5928"/>
    <w:rsid w:val="00AB5CBE"/>
    <w:rsid w:val="00AC1104"/>
    <w:rsid w:val="00AC24DC"/>
    <w:rsid w:val="00AC2986"/>
    <w:rsid w:val="00AC729D"/>
    <w:rsid w:val="00AD163D"/>
    <w:rsid w:val="00AD491B"/>
    <w:rsid w:val="00AE0B1C"/>
    <w:rsid w:val="00AE216F"/>
    <w:rsid w:val="00AE22F5"/>
    <w:rsid w:val="00AE3ED1"/>
    <w:rsid w:val="00AE476B"/>
    <w:rsid w:val="00AE50AD"/>
    <w:rsid w:val="00AE6843"/>
    <w:rsid w:val="00AF6FC3"/>
    <w:rsid w:val="00B0026F"/>
    <w:rsid w:val="00B02031"/>
    <w:rsid w:val="00B02322"/>
    <w:rsid w:val="00B028EF"/>
    <w:rsid w:val="00B06F0A"/>
    <w:rsid w:val="00B10F0A"/>
    <w:rsid w:val="00B13675"/>
    <w:rsid w:val="00B14367"/>
    <w:rsid w:val="00B17C06"/>
    <w:rsid w:val="00B21BF4"/>
    <w:rsid w:val="00B236CE"/>
    <w:rsid w:val="00B33471"/>
    <w:rsid w:val="00B36058"/>
    <w:rsid w:val="00B406F6"/>
    <w:rsid w:val="00B4636D"/>
    <w:rsid w:val="00B5683E"/>
    <w:rsid w:val="00B56DD4"/>
    <w:rsid w:val="00B57CAF"/>
    <w:rsid w:val="00B71EC4"/>
    <w:rsid w:val="00B74BCA"/>
    <w:rsid w:val="00B751C6"/>
    <w:rsid w:val="00B801DA"/>
    <w:rsid w:val="00B81CF2"/>
    <w:rsid w:val="00B81DFC"/>
    <w:rsid w:val="00B83EC5"/>
    <w:rsid w:val="00B8588B"/>
    <w:rsid w:val="00B90034"/>
    <w:rsid w:val="00B913A7"/>
    <w:rsid w:val="00B941A5"/>
    <w:rsid w:val="00BA017E"/>
    <w:rsid w:val="00BA0228"/>
    <w:rsid w:val="00BA0BBC"/>
    <w:rsid w:val="00BA613A"/>
    <w:rsid w:val="00BB4615"/>
    <w:rsid w:val="00BC2003"/>
    <w:rsid w:val="00BC35EA"/>
    <w:rsid w:val="00BC3F45"/>
    <w:rsid w:val="00BC5A58"/>
    <w:rsid w:val="00BD1DB6"/>
    <w:rsid w:val="00BD34B5"/>
    <w:rsid w:val="00BD3C60"/>
    <w:rsid w:val="00BD6097"/>
    <w:rsid w:val="00BD6692"/>
    <w:rsid w:val="00BE1183"/>
    <w:rsid w:val="00BE21CC"/>
    <w:rsid w:val="00BF09E5"/>
    <w:rsid w:val="00BF2D73"/>
    <w:rsid w:val="00BF3B3C"/>
    <w:rsid w:val="00BF5930"/>
    <w:rsid w:val="00C03BCA"/>
    <w:rsid w:val="00C0421D"/>
    <w:rsid w:val="00C151AC"/>
    <w:rsid w:val="00C16288"/>
    <w:rsid w:val="00C1787A"/>
    <w:rsid w:val="00C2353A"/>
    <w:rsid w:val="00C26F63"/>
    <w:rsid w:val="00C27319"/>
    <w:rsid w:val="00C30A1A"/>
    <w:rsid w:val="00C34421"/>
    <w:rsid w:val="00C37EBE"/>
    <w:rsid w:val="00C428F9"/>
    <w:rsid w:val="00C43082"/>
    <w:rsid w:val="00C45AF1"/>
    <w:rsid w:val="00C51A09"/>
    <w:rsid w:val="00C53823"/>
    <w:rsid w:val="00C566BC"/>
    <w:rsid w:val="00C620F1"/>
    <w:rsid w:val="00C62BE1"/>
    <w:rsid w:val="00C650F9"/>
    <w:rsid w:val="00C700F5"/>
    <w:rsid w:val="00C71064"/>
    <w:rsid w:val="00C74127"/>
    <w:rsid w:val="00C7747C"/>
    <w:rsid w:val="00C85A16"/>
    <w:rsid w:val="00C85B55"/>
    <w:rsid w:val="00C85F21"/>
    <w:rsid w:val="00C868B1"/>
    <w:rsid w:val="00C91973"/>
    <w:rsid w:val="00C94ABC"/>
    <w:rsid w:val="00C96500"/>
    <w:rsid w:val="00CA2380"/>
    <w:rsid w:val="00CA6E44"/>
    <w:rsid w:val="00CB06A1"/>
    <w:rsid w:val="00CB3ECF"/>
    <w:rsid w:val="00CB5342"/>
    <w:rsid w:val="00CC274F"/>
    <w:rsid w:val="00CC34A1"/>
    <w:rsid w:val="00CC35AE"/>
    <w:rsid w:val="00CC3E43"/>
    <w:rsid w:val="00CD0A2C"/>
    <w:rsid w:val="00CD7B14"/>
    <w:rsid w:val="00CD7BD0"/>
    <w:rsid w:val="00CE0408"/>
    <w:rsid w:val="00CE14DE"/>
    <w:rsid w:val="00CF214A"/>
    <w:rsid w:val="00CF39EC"/>
    <w:rsid w:val="00D00CE2"/>
    <w:rsid w:val="00D04825"/>
    <w:rsid w:val="00D07DEC"/>
    <w:rsid w:val="00D12059"/>
    <w:rsid w:val="00D12E3E"/>
    <w:rsid w:val="00D13931"/>
    <w:rsid w:val="00D14360"/>
    <w:rsid w:val="00D22B6E"/>
    <w:rsid w:val="00D237C4"/>
    <w:rsid w:val="00D23F0F"/>
    <w:rsid w:val="00D311BD"/>
    <w:rsid w:val="00D317E1"/>
    <w:rsid w:val="00D368EE"/>
    <w:rsid w:val="00D41E1D"/>
    <w:rsid w:val="00D50679"/>
    <w:rsid w:val="00D55058"/>
    <w:rsid w:val="00D565E0"/>
    <w:rsid w:val="00D636D5"/>
    <w:rsid w:val="00D66B17"/>
    <w:rsid w:val="00D739DC"/>
    <w:rsid w:val="00D760E6"/>
    <w:rsid w:val="00D80B89"/>
    <w:rsid w:val="00D80E98"/>
    <w:rsid w:val="00D8469E"/>
    <w:rsid w:val="00D86FB3"/>
    <w:rsid w:val="00D877CB"/>
    <w:rsid w:val="00D92F2E"/>
    <w:rsid w:val="00D96124"/>
    <w:rsid w:val="00D97C48"/>
    <w:rsid w:val="00DA2863"/>
    <w:rsid w:val="00DA3BAE"/>
    <w:rsid w:val="00DA420C"/>
    <w:rsid w:val="00DA486D"/>
    <w:rsid w:val="00DA518D"/>
    <w:rsid w:val="00DB11EF"/>
    <w:rsid w:val="00DB2982"/>
    <w:rsid w:val="00DB368D"/>
    <w:rsid w:val="00DB3CCE"/>
    <w:rsid w:val="00DB6FF3"/>
    <w:rsid w:val="00DC2CF4"/>
    <w:rsid w:val="00DD5730"/>
    <w:rsid w:val="00DD6C57"/>
    <w:rsid w:val="00DD7991"/>
    <w:rsid w:val="00DD7B80"/>
    <w:rsid w:val="00DE6416"/>
    <w:rsid w:val="00DF24C5"/>
    <w:rsid w:val="00DF68C8"/>
    <w:rsid w:val="00E06CD4"/>
    <w:rsid w:val="00E128A8"/>
    <w:rsid w:val="00E12AC6"/>
    <w:rsid w:val="00E148FD"/>
    <w:rsid w:val="00E17A6E"/>
    <w:rsid w:val="00E25992"/>
    <w:rsid w:val="00E273DB"/>
    <w:rsid w:val="00E27B55"/>
    <w:rsid w:val="00E33FA3"/>
    <w:rsid w:val="00E34346"/>
    <w:rsid w:val="00E3500D"/>
    <w:rsid w:val="00E40444"/>
    <w:rsid w:val="00E43DD2"/>
    <w:rsid w:val="00E5535E"/>
    <w:rsid w:val="00E57047"/>
    <w:rsid w:val="00E570CC"/>
    <w:rsid w:val="00E57BDA"/>
    <w:rsid w:val="00E605EA"/>
    <w:rsid w:val="00E60F9F"/>
    <w:rsid w:val="00E653BD"/>
    <w:rsid w:val="00E6598B"/>
    <w:rsid w:val="00E65E00"/>
    <w:rsid w:val="00E66027"/>
    <w:rsid w:val="00E74525"/>
    <w:rsid w:val="00E759D7"/>
    <w:rsid w:val="00E775EA"/>
    <w:rsid w:val="00E84D3F"/>
    <w:rsid w:val="00E87ECF"/>
    <w:rsid w:val="00E926FA"/>
    <w:rsid w:val="00E943E5"/>
    <w:rsid w:val="00E9585B"/>
    <w:rsid w:val="00EA3790"/>
    <w:rsid w:val="00EA41E9"/>
    <w:rsid w:val="00EA5E03"/>
    <w:rsid w:val="00EB00CD"/>
    <w:rsid w:val="00EB10CE"/>
    <w:rsid w:val="00EB1E4E"/>
    <w:rsid w:val="00EB2029"/>
    <w:rsid w:val="00EB7D48"/>
    <w:rsid w:val="00EC088D"/>
    <w:rsid w:val="00EC25A8"/>
    <w:rsid w:val="00EC34EA"/>
    <w:rsid w:val="00EC5799"/>
    <w:rsid w:val="00ED3B0D"/>
    <w:rsid w:val="00ED55BB"/>
    <w:rsid w:val="00ED6001"/>
    <w:rsid w:val="00EE1511"/>
    <w:rsid w:val="00EE1BF5"/>
    <w:rsid w:val="00EE1F4D"/>
    <w:rsid w:val="00EE38E9"/>
    <w:rsid w:val="00EF2F73"/>
    <w:rsid w:val="00EF3144"/>
    <w:rsid w:val="00EF5462"/>
    <w:rsid w:val="00EF750C"/>
    <w:rsid w:val="00F02F3F"/>
    <w:rsid w:val="00F04BB1"/>
    <w:rsid w:val="00F0622E"/>
    <w:rsid w:val="00F07D42"/>
    <w:rsid w:val="00F134C8"/>
    <w:rsid w:val="00F16533"/>
    <w:rsid w:val="00F17B22"/>
    <w:rsid w:val="00F2084D"/>
    <w:rsid w:val="00F20B32"/>
    <w:rsid w:val="00F24CF7"/>
    <w:rsid w:val="00F32701"/>
    <w:rsid w:val="00F33217"/>
    <w:rsid w:val="00F33996"/>
    <w:rsid w:val="00F376F6"/>
    <w:rsid w:val="00F42317"/>
    <w:rsid w:val="00F44F66"/>
    <w:rsid w:val="00F468F5"/>
    <w:rsid w:val="00F5519A"/>
    <w:rsid w:val="00F55646"/>
    <w:rsid w:val="00F55A01"/>
    <w:rsid w:val="00F612E4"/>
    <w:rsid w:val="00F62A33"/>
    <w:rsid w:val="00F64622"/>
    <w:rsid w:val="00F74211"/>
    <w:rsid w:val="00F757F1"/>
    <w:rsid w:val="00F75B76"/>
    <w:rsid w:val="00F9199C"/>
    <w:rsid w:val="00FA0633"/>
    <w:rsid w:val="00FA343B"/>
    <w:rsid w:val="00FB057B"/>
    <w:rsid w:val="00FB3259"/>
    <w:rsid w:val="00FB42EC"/>
    <w:rsid w:val="00FB7F5C"/>
    <w:rsid w:val="00FB7FFB"/>
    <w:rsid w:val="00FC0C4B"/>
    <w:rsid w:val="00FC2752"/>
    <w:rsid w:val="00FC4425"/>
    <w:rsid w:val="00FC4B4F"/>
    <w:rsid w:val="00FC52AA"/>
    <w:rsid w:val="00FC57C5"/>
    <w:rsid w:val="00FC59F9"/>
    <w:rsid w:val="00FD6720"/>
    <w:rsid w:val="00FE14D5"/>
    <w:rsid w:val="00FE31FC"/>
    <w:rsid w:val="00FE4EB7"/>
    <w:rsid w:val="00FE65E6"/>
    <w:rsid w:val="00FF508F"/>
    <w:rsid w:val="00FF5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31145,#fffddf,#ffecd6"/>
    </o:shapedefaults>
    <o:shapelayout v:ext="edit">
      <o:idmap v:ext="edit" data="1"/>
    </o:shapelayout>
  </w:shapeDefaults>
  <w:decimalSymbol w:val="."/>
  <w:listSeparator w:val=","/>
  <w15:docId w15:val="{FFC49D89-5F30-403F-8636-300540C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9028CB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E3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7590"/>
    <w:pPr>
      <w:keepNext/>
      <w:spacing w:before="60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E1B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5FB"/>
    <w:rPr>
      <w:rFonts w:eastAsia="Times New Roman" w:cs="Helvetica-Light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45FB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45FB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1341B"/>
    <w:rPr>
      <w:rFonts w:eastAsia="Times New Roman"/>
      <w:b/>
      <w:sz w:val="24"/>
      <w:szCs w:val="20"/>
      <w:shd w:val="pct10" w:color="auto" w:fill="auto"/>
    </w:rPr>
  </w:style>
  <w:style w:type="character" w:customStyle="1" w:styleId="Heading7Char">
    <w:name w:val="Heading 7 Char"/>
    <w:basedOn w:val="DefaultParagraphFont"/>
    <w:link w:val="Heading7"/>
    <w:semiHidden/>
    <w:rsid w:val="0001341B"/>
    <w:rPr>
      <w:rFonts w:eastAsia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1341B"/>
    <w:rPr>
      <w:rFonts w:eastAsia="Times New Roman"/>
      <w:b/>
      <w:i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2"/>
    <w:rsid w:val="000701AB"/>
    <w:rPr>
      <w:rFonts w:cs="Times New Roman"/>
    </w:rPr>
  </w:style>
  <w:style w:type="table" w:styleId="TableGrid">
    <w:name w:val="Table Grid"/>
    <w:basedOn w:val="TableNormal"/>
    <w:uiPriority w:val="39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F158D"/>
    <w:pPr>
      <w:numPr>
        <w:numId w:val="1"/>
      </w:numPr>
      <w:ind w:hanging="357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99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846AEA"/>
    <w:rPr>
      <w:sz w:val="40"/>
      <w:szCs w:val="40"/>
    </w:rPr>
  </w:style>
  <w:style w:type="character" w:customStyle="1" w:styleId="Title2Char">
    <w:name w:val="Title 2 Char"/>
    <w:basedOn w:val="Heading2Char"/>
    <w:link w:val="Title2"/>
    <w:uiPriority w:val="1"/>
    <w:rsid w:val="002345FB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basedOn w:val="DefaultParagraphFont"/>
    <w:uiPriority w:val="99"/>
    <w:rsid w:val="00AB4059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qFormat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qFormat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basedOn w:val="DefaultParagraphFont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B4059"/>
    <w:pPr>
      <w:ind w:left="1920"/>
    </w:pPr>
  </w:style>
  <w:style w:type="character" w:styleId="EndnoteReference">
    <w:name w:val="endnote reference"/>
    <w:basedOn w:val="DefaultParagraphFont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qFormat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9028C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9028CB"/>
    <w:rPr>
      <w:rFonts w:eastAsia="Times New Roman" w:cs="Helvetica-Light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4228"/>
    <w:pPr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customStyle="1" w:styleId="BTLSnormal">
    <w:name w:val="BTLS normal"/>
    <w:basedOn w:val="Normal"/>
    <w:link w:val="BTLSnormalChar"/>
    <w:qFormat/>
    <w:rsid w:val="00EB1E4E"/>
    <w:pPr>
      <w:tabs>
        <w:tab w:val="left" w:pos="9540"/>
        <w:tab w:val="left" w:pos="9720"/>
      </w:tabs>
      <w:autoSpaceDE/>
      <w:autoSpaceDN/>
      <w:adjustRightInd/>
      <w:spacing w:line="276" w:lineRule="auto"/>
    </w:pPr>
    <w:rPr>
      <w:rFonts w:ascii="Calibri" w:hAnsi="Calibri" w:cs="Times New Roman"/>
      <w:color w:val="auto"/>
      <w:szCs w:val="22"/>
      <w:lang w:eastAsia="en-GB"/>
    </w:rPr>
  </w:style>
  <w:style w:type="character" w:customStyle="1" w:styleId="BTLSnormalChar">
    <w:name w:val="BTLS normal Char"/>
    <w:link w:val="BTLSnormal"/>
    <w:rsid w:val="00EB1E4E"/>
    <w:rPr>
      <w:rFonts w:ascii="Calibri" w:eastAsia="Calibri" w:hAnsi="Calibri"/>
      <w:sz w:val="24"/>
      <w:szCs w:val="22"/>
    </w:rPr>
  </w:style>
  <w:style w:type="paragraph" w:styleId="NormalWeb">
    <w:name w:val="Normal (Web)"/>
    <w:basedOn w:val="Normal"/>
    <w:uiPriority w:val="99"/>
    <w:unhideWhenUsed/>
    <w:rsid w:val="000A3809"/>
    <w:pPr>
      <w:autoSpaceDE/>
      <w:autoSpaceDN/>
      <w:adjustRightInd/>
      <w:spacing w:before="100" w:beforeAutospacing="1" w:after="240"/>
      <w:jc w:val="left"/>
    </w:pPr>
    <w:rPr>
      <w:rFonts w:ascii="Times New Roman" w:eastAsiaTheme="minorHAnsi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rsid w:val="005468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86B"/>
    <w:pPr>
      <w:autoSpaceDE w:val="0"/>
      <w:autoSpaceDN w:val="0"/>
      <w:adjustRightInd w:val="0"/>
      <w:spacing w:after="120"/>
      <w:jc w:val="both"/>
    </w:pPr>
    <w:rPr>
      <w:rFonts w:eastAsia="Calibri" w:cs="Helvetica-Light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86B"/>
    <w:rPr>
      <w:rFonts w:eastAsia="Calibri" w:cs="Helvetica-Light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6B"/>
    <w:rPr>
      <w:rFonts w:ascii="Segoe UI" w:eastAsia="Calibri" w:hAnsi="Segoe UI" w:cs="Segoe UI"/>
      <w:color w:val="000000"/>
      <w:sz w:val="18"/>
      <w:szCs w:val="18"/>
      <w:lang w:eastAsia="en-US"/>
    </w:rPr>
  </w:style>
  <w:style w:type="paragraph" w:customStyle="1" w:styleId="Default">
    <w:name w:val="Default"/>
    <w:rsid w:val="0037393E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legds2">
    <w:name w:val="legds2"/>
    <w:basedOn w:val="DefaultParagraphFont"/>
    <w:rsid w:val="0037393E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37393E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37393E"/>
    <w:pPr>
      <w:shd w:val="clear" w:color="auto" w:fill="FFFFFF"/>
      <w:autoSpaceDE/>
      <w:autoSpaceDN/>
      <w:adjustRightInd/>
      <w:spacing w:line="360" w:lineRule="atLeast"/>
      <w:jc w:val="lef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customStyle="1" w:styleId="legchangedelimiter2">
    <w:name w:val="legchangedelimiter2"/>
    <w:basedOn w:val="DefaultParagraphFont"/>
    <w:rsid w:val="0037393E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37393E"/>
  </w:style>
  <w:style w:type="character" w:styleId="Strong">
    <w:name w:val="Strong"/>
    <w:basedOn w:val="DefaultParagraphFont"/>
    <w:uiPriority w:val="22"/>
    <w:qFormat/>
    <w:rsid w:val="0037393E"/>
    <w:rPr>
      <w:b/>
      <w:bCs/>
    </w:rPr>
  </w:style>
  <w:style w:type="paragraph" w:styleId="NoSpacing">
    <w:name w:val="No Spacing"/>
    <w:qFormat/>
    <w:rsid w:val="00EB00CD"/>
    <w:rPr>
      <w:rFonts w:eastAsiaTheme="minorHAnsi" w:cstheme="minorBidi"/>
      <w:sz w:val="24"/>
      <w:szCs w:val="22"/>
      <w:lang w:eastAsia="en-US"/>
    </w:rPr>
  </w:style>
  <w:style w:type="paragraph" w:customStyle="1" w:styleId="Body1">
    <w:name w:val="Body 1"/>
    <w:rsid w:val="00EB00CD"/>
    <w:pPr>
      <w:spacing w:after="200" w:line="276" w:lineRule="auto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30">
    <w:name w:val="Import Word List Style Definition 30"/>
    <w:rsid w:val="00EB00CD"/>
    <w:pPr>
      <w:numPr>
        <w:numId w:val="5"/>
      </w:numPr>
    </w:pPr>
    <w:rPr>
      <w:rFonts w:ascii="Times New Roman" w:eastAsia="Times New Roman" w:hAnsi="Times New Roman"/>
    </w:rPr>
  </w:style>
  <w:style w:type="paragraph" w:customStyle="1" w:styleId="ImportWordListStyleDefinition19">
    <w:name w:val="Import Word List Style Definition 19"/>
    <w:rsid w:val="00EB00CD"/>
    <w:pPr>
      <w:numPr>
        <w:numId w:val="6"/>
      </w:numPr>
    </w:pPr>
    <w:rPr>
      <w:rFonts w:ascii="Times New Roman" w:eastAsia="Times New Roman" w:hAnsi="Times New Roman"/>
    </w:rPr>
  </w:style>
  <w:style w:type="paragraph" w:customStyle="1" w:styleId="ImportWordListStyleDefinition1">
    <w:name w:val="Import Word List Style Definition 1"/>
    <w:rsid w:val="00EB00CD"/>
    <w:pPr>
      <w:numPr>
        <w:numId w:val="7"/>
      </w:numPr>
    </w:pPr>
    <w:rPr>
      <w:rFonts w:ascii="Times New Roman" w:eastAsia="Times New Roman" w:hAnsi="Times New Roman"/>
    </w:rPr>
  </w:style>
  <w:style w:type="paragraph" w:customStyle="1" w:styleId="List1">
    <w:name w:val="List 1"/>
    <w:basedOn w:val="ImportWordListStyleDefinition1"/>
    <w:semiHidden/>
    <w:rsid w:val="00EB00CD"/>
    <w:pPr>
      <w:numPr>
        <w:numId w:val="8"/>
      </w:numPr>
    </w:pPr>
  </w:style>
  <w:style w:type="paragraph" w:customStyle="1" w:styleId="ImportWordListStyleDefinition13">
    <w:name w:val="Import Word List Style Definition 13"/>
    <w:rsid w:val="00EB00CD"/>
    <w:pPr>
      <w:numPr>
        <w:numId w:val="9"/>
      </w:numPr>
    </w:pPr>
    <w:rPr>
      <w:rFonts w:ascii="Times New Roman" w:eastAsia="Times New Roman" w:hAnsi="Times New Roman"/>
    </w:rPr>
  </w:style>
  <w:style w:type="paragraph" w:customStyle="1" w:styleId="ImportWordListStyleDefinition25">
    <w:name w:val="Import Word List Style Definition 25"/>
    <w:rsid w:val="00EB00CD"/>
    <w:pPr>
      <w:numPr>
        <w:numId w:val="10"/>
      </w:numPr>
    </w:pPr>
    <w:rPr>
      <w:rFonts w:ascii="Times New Roman" w:eastAsia="Times New Roman" w:hAnsi="Times New Roman"/>
    </w:rPr>
  </w:style>
  <w:style w:type="paragraph" w:customStyle="1" w:styleId="ImportWordListStyleDefinition17">
    <w:name w:val="Import Word List Style Definition 17"/>
    <w:rsid w:val="00EB00CD"/>
    <w:pPr>
      <w:numPr>
        <w:numId w:val="11"/>
      </w:numPr>
    </w:pPr>
    <w:rPr>
      <w:rFonts w:ascii="Times New Roman" w:eastAsia="Times New Roman" w:hAnsi="Times New Roman"/>
    </w:rPr>
  </w:style>
  <w:style w:type="paragraph" w:customStyle="1" w:styleId="ImportWordListStyleDefinition5">
    <w:name w:val="Import Word List Style Definition 5"/>
    <w:rsid w:val="00EB00CD"/>
    <w:pPr>
      <w:numPr>
        <w:numId w:val="12"/>
      </w:numPr>
    </w:pPr>
    <w:rPr>
      <w:rFonts w:ascii="Times New Roman" w:eastAsia="Times New Roman" w:hAnsi="Times New Roman"/>
    </w:rPr>
  </w:style>
  <w:style w:type="paragraph" w:customStyle="1" w:styleId="body10">
    <w:name w:val="body1"/>
    <w:basedOn w:val="Normal"/>
    <w:rsid w:val="00EB00CD"/>
    <w:pPr>
      <w:autoSpaceDE/>
      <w:autoSpaceDN/>
      <w:adjustRightInd/>
      <w:spacing w:after="200" w:line="276" w:lineRule="auto"/>
      <w:jc w:val="left"/>
    </w:pPr>
    <w:rPr>
      <w:rFonts w:eastAsiaTheme="minorHAnsi" w:cs="Arial"/>
      <w:lang w:eastAsia="en-GB"/>
    </w:rPr>
  </w:style>
  <w:style w:type="paragraph" w:customStyle="1" w:styleId="Body">
    <w:name w:val="Body"/>
    <w:rsid w:val="00EB00CD"/>
    <w:pPr>
      <w:spacing w:after="200" w:line="276" w:lineRule="auto"/>
    </w:pPr>
    <w:rPr>
      <w:rFonts w:eastAsia="Arial Unicode MS" w:hAnsi="Arial Unicode MS" w:cs="Arial Unicode MS"/>
      <w:color w:val="000000"/>
      <w:sz w:val="24"/>
      <w:szCs w:val="24"/>
      <w:u w:color="000000"/>
      <w:lang w:val="fr-FR"/>
    </w:rPr>
  </w:style>
  <w:style w:type="table" w:customStyle="1" w:styleId="TableGrid1">
    <w:name w:val="Table Grid1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1">
    <w:name w:val="List 21"/>
    <w:basedOn w:val="ImportWordListStyleDefinition17"/>
    <w:semiHidden/>
    <w:rsid w:val="00EB00CD"/>
    <w:pPr>
      <w:numPr>
        <w:numId w:val="13"/>
      </w:numPr>
    </w:pPr>
  </w:style>
  <w:style w:type="paragraph" w:customStyle="1" w:styleId="List0">
    <w:name w:val="List 0"/>
    <w:basedOn w:val="ImportWordListStyleDefinition1"/>
    <w:semiHidden/>
    <w:rsid w:val="00EB00CD"/>
    <w:pPr>
      <w:numPr>
        <w:numId w:val="14"/>
      </w:numPr>
      <w:ind w:left="720" w:hanging="360"/>
    </w:pPr>
  </w:style>
  <w:style w:type="paragraph" w:styleId="BlockText">
    <w:name w:val="Block Text"/>
    <w:basedOn w:val="Normal"/>
    <w:semiHidden/>
    <w:unhideWhenUsed/>
    <w:rsid w:val="00B136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semiHidden/>
    <w:unhideWhenUsed/>
    <w:rsid w:val="00B1367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3675"/>
    <w:rPr>
      <w:rFonts w:eastAsia="Calibri" w:cs="Helvetica-Light"/>
      <w:color w:val="000000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1367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1367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3675"/>
    <w:rPr>
      <w:rFonts w:eastAsia="Calibri" w:cs="Helvetica-Light"/>
      <w:color w:val="000000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B1367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3675"/>
    <w:rPr>
      <w:rFonts w:ascii="Segoe UI" w:eastAsia="Calibri" w:hAnsi="Segoe UI" w:cs="Segoe UI"/>
      <w:color w:val="000000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367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367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1367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367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675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3675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3675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3675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3675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3675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3675"/>
    <w:pPr>
      <w:spacing w:after="0"/>
      <w:ind w:left="144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6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675"/>
    <w:rPr>
      <w:rFonts w:eastAsia="Calibri" w:cs="Helvetica-Light"/>
      <w:i/>
      <w:iCs/>
      <w:color w:val="4F81BD" w:themeColor="accent1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B136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36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36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36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367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3675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3675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3675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3675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3675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367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367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367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367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3675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3675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3675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3675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3675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3675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3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jc w:val="both"/>
    </w:pPr>
    <w:rPr>
      <w:rFonts w:ascii="Consolas" w:eastAsia="Calibri" w:hAnsi="Consolas" w:cs="Helvetica-Light"/>
      <w:color w:val="00000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675"/>
    <w:rPr>
      <w:rFonts w:ascii="Consolas" w:eastAsia="Calibri" w:hAnsi="Consolas" w:cs="Helvetica-Light"/>
      <w:color w:val="00000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3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3675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367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367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675"/>
    <w:rPr>
      <w:rFonts w:ascii="Consolas" w:eastAsia="Calibri" w:hAnsi="Consolas" w:cs="Helvetica-Light"/>
      <w:color w:val="000000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6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67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6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36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86">
              <w:marLeft w:val="0"/>
              <w:marRight w:val="0"/>
              <w:marTop w:val="83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oswell001\Local%20Settings\Temporary%20Internet%20Files\Content.IE5\7BRXSR7D\Full%20Report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6FAC-77EB-49F2-97F4-5C254315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Report Template[1].dot</Template>
  <TotalTime>0</TotalTime>
  <Pages>9</Pages>
  <Words>976</Words>
  <Characters>5569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6532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http://lccintranet2/corporate/web/?siteid=4180&amp;pageid=17582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tboswell001</dc:creator>
  <cp:keywords/>
  <dc:description/>
  <cp:lastModifiedBy>Rimmer, Jill (OCE)</cp:lastModifiedBy>
  <cp:revision>2</cp:revision>
  <cp:lastPrinted>2015-07-30T16:23:00Z</cp:lastPrinted>
  <dcterms:created xsi:type="dcterms:W3CDTF">2015-07-30T16:31:00Z</dcterms:created>
  <dcterms:modified xsi:type="dcterms:W3CDTF">2015-07-30T16:31:00Z</dcterms:modified>
</cp:coreProperties>
</file>